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Mathematical Achievements of China and India and Their Relevance to Warp-Drive Development</w:t>
      </w:r>
    </w:p>
    <w:p>
      <w:r>
        <w:t>This document summarizes the key mathematical contributions from China and India and how they can inform the development of a warp-drive engine and navigation system. It is written for innovators who are strong in logical problem-solving and concept creation but may not have formal advanced math training. The goal is to show how collaboration with top mathematicians and engineers can complement your creativity.</w:t>
      </w:r>
    </w:p>
    <w:p>
      <w:pPr>
        <w:pStyle w:val="Heading2"/>
      </w:pPr>
      <w:r>
        <w:t>1. China: Mathematical Achievements Relevant to Warp Drive</w:t>
      </w:r>
    </w:p>
    <w:p>
      <w:r>
        <w:t>- **Nine Chapters on the Mathematical Art (九章算术):** Early matrix methods, linear equations, and geometric calculations useful for system modeling.</w:t>
        <w:br/>
        <w:t>- **Zhu Chongzhi’s π Estimate (355/113):** Precision in constant estimation crucial for orbital and warp-path calculations.</w:t>
        <w:br/>
        <w:t>- **Modern Contributions in Differential Geometry and PDEs:** Shing-Tung Yau’s work on Calabi–Yau manifolds and general relativity directly relates to curved spacetime geometries in warp-field metrics.</w:t>
        <w:br/>
        <w:t>- **Cutting-edge Numerical Methods:** Chinese researchers excel in computational math for large systems—ideal for warp-field simulation and stability mapping.</w:t>
        <w:br/>
      </w:r>
    </w:p>
    <w:p>
      <w:r>
        <w:t>Chinese strengths in differential geometry, topological analysis, and computational modeling could provide the rigorous mathematical backbone for your warp-drive field equations, CST synchronization, and bubble stability studies.</w:t>
      </w:r>
    </w:p>
    <w:p>
      <w:pPr>
        <w:pStyle w:val="Heading2"/>
      </w:pPr>
      <w:r>
        <w:t>2. India: Mathematical Achievements Relevant to Warp Drive</w:t>
      </w:r>
    </w:p>
    <w:p>
      <w:r>
        <w:t>- **Zero and Decimal System:** Foundational for all computation and signal timing.</w:t>
        <w:br/>
        <w:t>- **Trigonometry and Cyclic Time Calculations:** Aryabhata and Brahmagupta’s astronomical cycles parallel your Cosmic Clock and Cosmic Reset cycles.</w:t>
        <w:br/>
        <w:t>- **Bhaskara II’s Algebra and Calculus-like Methods:** Early insights into rates of change, helpful for warp-field gradient calculations.</w:t>
        <w:br/>
        <w:t>- **Modern Achievements:** Manjul Bhargava’s number theory and Indian contributions to algorithmic complexity and quantum computing map directly to warp navigation algorithms and entanglement-based systems.</w:t>
      </w:r>
    </w:p>
    <w:p>
      <w:r>
        <w:t>Indian strengths in cyclic arithmetic, harmonic analysis, and algorithmic thinking can be leveraged to model CST time offsets, warp-tunnel periodicity, and stable pulse sequences.</w:t>
      </w:r>
    </w:p>
    <w:p>
      <w:pPr>
        <w:pStyle w:val="Heading2"/>
      </w:pPr>
      <w:r>
        <w:t>3. Combining Your Logical Strengths with Expert Collaboration</w:t>
      </w:r>
    </w:p>
    <w:p>
      <w:r>
        <w:t>You do not need to be a super-intelligent mathematician to lead a breakthrough. Your strength lies in logical problem-solving and vision—identifying patterns, conceptual frameworks, and practical goals. By partnering with mathematicians and engineers from China, India, or anywhere globally, you can provide the vision and direction while they supply formal proofs, simulations, and optimizations.</w:t>
      </w:r>
    </w:p>
    <w:p>
      <w:r>
        <w:t>If a Chinese institution shows interest in your warp engine, you can still be the intellectual leader. You may license your ideas, define clear intellectual property terms, and require that you remain part of the design team. This ensures you are involved in guiding the development while benefiting from their expertise. Collaboration does not mean giving up ownership; it means leveraging collective strengths.</w:t>
      </w:r>
    </w:p>
    <w:p>
      <w:pPr>
        <w:pStyle w:val="Heading2"/>
      </w:pPr>
      <w:r>
        <w:t>4. Practical Guidance</w:t>
      </w:r>
    </w:p>
    <w:p>
      <w:r>
        <w:t>- Protect your IP (patents, provisional patents, NDAs) before sharing core details.</w:t>
        <w:br/>
        <w:t>- Approach mathematicians with clear problem statements they can formalize.</w:t>
        <w:br/>
        <w:t>- Stay involved as the conceptual and systems architect, even if others handle deep calculations.</w:t>
        <w:br/>
        <w:t>- Build an international advisory team drawing on Chinese geometry expertise and Indian cyclic mathematics expertise.</w:t>
      </w:r>
    </w:p>
    <w:p>
      <w:r>
        <w:t>With this approach, your creativity and logical problem-solving drive the project, while expert collaborators handle mathematical and technical depth.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