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Vacuum Pilot-Wave Warp Drive — Engineering Summary &amp; Build Steps</w:t>
      </w:r>
    </w:p>
    <w:p>
      <w:pPr>
        <w:pStyle w:val="Heading1"/>
      </w:pPr>
      <w:r>
        <w:t>1. Executive Summary</w:t>
      </w:r>
    </w:p>
    <w:p>
      <w:r>
        <w:t>This document collects the conceptual discussion and engineering guidance for the Vacuum Pilot-Wave Warp Drive idea. It covers the pilot-wave analogy, how a warp bubble could carry a ship, practical momentum-generation methods (photons vs plasma), and a step-by-step plan to create momentum and stabilize it using magnetic nozzles, plasma sources, and field-shaping components. The aim is to move from conceptual theory to actionable bench-scale tests.</w:t>
      </w:r>
    </w:p>
    <w:p>
      <w:pPr>
        <w:pStyle w:val="Heading1"/>
      </w:pPr>
      <w:r>
        <w:t>2. Concept Overview</w:t>
      </w:r>
    </w:p>
    <w:p>
      <w:r>
        <w:t>The core concept blends three components:</w:t>
        <w:br/>
        <w:t>1) High-density power (fusion / nuclear) to supply large continuous power.</w:t>
        <w:br/>
        <w:t>2) Quantum / entanglement-driven field structuring to shape vacuum oscillations into a pilot-wave corridor.</w:t>
        <w:br/>
        <w:t>3) Aperture/compression geometry (slits, channels, magnetic nozzles) to create front-compression and back-expansion zones—the mechanism proposed to sustain a warp-like bubble or to create directed effective motion without traditional propellant.</w:t>
      </w:r>
    </w:p>
    <w:p>
      <w:pPr>
        <w:pStyle w:val="Heading1"/>
      </w:pPr>
      <w:r>
        <w:t>3. How Motion Occurs: Bubble vs Field Flow</w:t>
      </w:r>
    </w:p>
    <w:p>
      <w:r>
        <w:t>Two complementary pictures explain how the ship can be moved:</w:t>
        <w:br/>
        <w:t>- Alcubierre-style warp bubble: the ship is locally at rest while spacetime is contracted in front and expanded behind; the bubble carries the ship.</w:t>
        <w:br/>
        <w:t>- Field/Particle flow: front (positive/compression) and back (negative/expansion) field regions are sustained by powered field/particle flows; the ship rides the asymmetry created by this flow.</w:t>
        <w:br/>
        <w:br/>
        <w:t>In practice your architecture uses field/particle flows (pilot-wave-like) to create and sustain the bubble geometry; the ship remains in a calm interior and is carried along as the bubble/bulk field pattern propagates.</w:t>
      </w:r>
    </w:p>
    <w:p>
      <w:pPr>
        <w:pStyle w:val="Heading1"/>
      </w:pPr>
      <w:r>
        <w:t>4. Momentum Generation Methods (Physics &amp; Trade-offs)</w:t>
      </w:r>
    </w:p>
    <w:p>
      <w:r>
        <w:t>Key equations and comparisons:</w:t>
      </w:r>
    </w:p>
    <w:p>
      <w:r>
        <w:t>Photon thrust (collimated beam):</w:t>
        <w:br/>
        <w:t>F_photon = P / c</w:t>
        <w:br/>
        <w:t>Example: 1 MW → ~3.3×10^-3 N</w:t>
      </w:r>
    </w:p>
    <w:p>
      <w:r>
        <w:t>Plasma thrust (power P, exhaust speed v):</w:t>
        <w:br/>
        <w:t>P = 1/2 ṁ v^2  ⇒ ṁ = 2P / v^2</w:t>
        <w:br/>
        <w:t>Thrust T = ṁ v = 2P / v</w:t>
        <w:br/>
        <w:t>Therefore T_plasma / T_photon = 2c / v (huge advantage when v &lt;&lt; c)</w:t>
      </w:r>
    </w:p>
    <w:p>
      <w:r>
        <w:t>Numeric example (P = 1 MW):</w:t>
        <w:br/>
        <w:t>- v = 10 km/s → ṁ = 0.02 kg/s, T ≈ 200 N</w:t>
        <w:br/>
        <w:t>- v = 100 km/s → ṁ = 2×10^-4 kg/s, T ≈ 20 N</w:t>
        <w:br/>
        <w:t>- Photon: T ≈ 3.3×10^-3 N</w:t>
        <w:br/>
        <w:br/>
        <w:t>Implication: accelerating plasma (magnetic nozzle / MPD / VASIMR / fusion exhaust) gives orders-of-magnitude higher thrust per watt than photons.</w:t>
      </w:r>
    </w:p>
    <w:p>
      <w:pPr>
        <w:pStyle w:val="Heading1"/>
      </w:pPr>
      <w:r>
        <w:t>5. Recommended Momentum Path (Best Practical Choice)</w:t>
      </w:r>
    </w:p>
    <w:p>
      <w:r>
        <w:t>Primary recommendation: use your fusion/nuclear power source to produce and accelerate charged particles (plasma or fusion reaction products) and direct them with a magnetic nozzle (preferably superconducting coils for continuous high-field operation). This yields the best thrust-per-power and integrates naturally with fusion exhaust.</w:t>
      </w:r>
    </w:p>
    <w:p>
      <w:pPr>
        <w:pStyle w:val="Heading1"/>
      </w:pPr>
      <w:r>
        <w:t>6. How to Produce Plasma and Magnetic Fields</w:t>
      </w:r>
    </w:p>
    <w:p>
      <w:r>
        <w:t>A — Magnetic nozzle + plasma (recommended):</w:t>
        <w:br/>
        <w:t>- Ionize propellant (or use charged fusion products).</w:t>
        <w:br/>
        <w:t>- Use magnetic fields to collimate and convert thermal/magnetic pressure into directed kinetic flow.</w:t>
        <w:br/>
        <w:t>- Superconducting coils for steady high B-fields; pulsed coils for peak operations.</w:t>
        <w:br/>
        <w:br/>
        <w:t>B — MPD / VASIMR:</w:t>
        <w:br/>
        <w:t>- MPD uses j×B at high currents; VASIMR uses RF ionization + magnetic nozzle.</w:t>
        <w:br/>
        <w:br/>
        <w:t>C — Laser ablation / photon methods: low thrust per watt; useful for small impulse bits or demonstrations.</w:t>
        <w:br/>
        <w:br/>
        <w:t>D — Ambient-coupling (magsail / electrodynamic tether): works where plasma or magnetic fields exist (e.g., solar wind, planetary magnetospheres).</w:t>
      </w:r>
    </w:p>
    <w:p>
      <w:pPr>
        <w:pStyle w:val="Heading1"/>
      </w:pPr>
      <w:r>
        <w:t>7. Experimental Path: Bench → Prototype → Integration</w:t>
      </w:r>
    </w:p>
    <w:p>
      <w:r>
        <w:t>Phase 1 — Bench demonstrations (goal: show momentum exchange and control):</w:t>
      </w:r>
    </w:p>
    <w:p>
      <w:r>
        <w:t>- Build a small RF inductive plasma source (argon/xenon) and a magnetic nozzle made from copper coils.</w:t>
        <w:br/>
        <w:t>- Install the assembly on a precision torsion balance or thrust-stand (μN to mN sensitivity depending on scale).</w:t>
        <w:br/>
        <w:t>- Verify net thrust only when plasma is emitted or when photons are intentionally beamed; record thrust vs input power.</w:t>
        <w:br/>
        <w:t>- Diagnostics: Langmuir probe, optical spectrometer, Rogowski coil (for current), calorimetry for power accounting.</w:t>
      </w:r>
    </w:p>
    <w:p>
      <w:r>
        <w:t>Phase 2 — High-power plasma &amp; magnetic-nozzle prototype (goal: scalable thrust):</w:t>
      </w:r>
    </w:p>
    <w:p>
      <w:r>
        <w:t>- Scale to 10s–100s kW (or more) using high-power supplies, active cooling, and improved magnetic nozzle geometry.</w:t>
        <w:br/>
        <w:t>- Use pulsed or superconducting coils depending on resources (superconducting preferred for continuous operation).</w:t>
        <w:br/>
        <w:t>- Measure Isp, thrust, efficiency, nozzle conversion efficiency, and erosion (if electrodes present).</w:t>
      </w:r>
    </w:p>
    <w:p>
      <w:r>
        <w:t>Phase 3 — Fusion integration &amp; extraction (goal: fusion-exhaust-directed thrust):</w:t>
      </w:r>
    </w:p>
    <w:p>
      <w:r>
        <w:t>- If you have a fusion source, design magnetic extraction stages to intercept charged reaction products and collimate them into the nozzle.</w:t>
        <w:br/>
        <w:t>- Model expected thrust from fusion burn-product energies and estimate thermal/structural loads on coils.</w:t>
        <w:br/>
        <w:t>- Consider radiation shielding, heat rejection, and magnetic coil protection.</w:t>
      </w:r>
    </w:p>
    <w:p>
      <w:pPr>
        <w:pStyle w:val="Heading1"/>
      </w:pPr>
      <w:r>
        <w:t>8. Step-by-step Procedure to Create Momentum and Stabilize It</w:t>
      </w:r>
    </w:p>
    <w:p>
      <w:r>
        <w:t>1. Power &amp; Safety Preparation: Select a stable high-power supply (start 1–10 kW bench, scale upward). Ensure electrical, RF, vacuum, and cryogenic safety systems.</w:t>
      </w:r>
    </w:p>
    <w:p>
      <w:r>
        <w:t>2. Plasma Generation: Build/obtain an RF inductive plasma source or small MPD cathode assembly. Start with noble gases (argon, xenon) for testing.</w:t>
      </w:r>
    </w:p>
    <w:p>
      <w:r>
        <w:t>3. Magnetic Nozzle Design: Implement a converging/diverging magnetic field using coil sets. Simulate with simple MHD or magnetostatic solvers for field lines and mirror ratios.</w:t>
      </w:r>
    </w:p>
    <w:p>
      <w:r>
        <w:t>4. Vacuum &amp; Feed Systems: Set up vacuum chamber, propellant feed (mass flow controllers), and gas plumbing. Ensure leak-tight, rated valves.</w:t>
      </w:r>
    </w:p>
    <w:p>
      <w:r>
        <w:t>5. Thrust Stand Installation: Mount the thruster/nozzle assembly on a torsion balance with vibration isolation and EMI shielding.</w:t>
      </w:r>
    </w:p>
    <w:p>
      <w:r>
        <w:t>6. Baseline Measurements: Characterize background signals (thermal, acoustic, EM pickup) with no plasma to get baseline noise.</w:t>
      </w:r>
    </w:p>
    <w:p>
      <w:r>
        <w:t>7. Low-power Ignition: Ignite plasma at low power. Monitor plasma parameters (density, temperature) and ensure stable operation.</w:t>
      </w:r>
    </w:p>
    <w:p>
      <w:r>
        <w:t>8. Directional Emission: Ramp magnetic nozzle currents to shape and collimate the exhaust. Measure directional velocity with spectrometer and probe diagnostics.</w:t>
      </w:r>
    </w:p>
    <w:p>
      <w:r>
        <w:t>9. Measure Thrust: Record thrust vs power, mass flow, and nozzle currents. Verify momentum conservation by correlating emitted jet momentum with measured thrust.</w:t>
      </w:r>
    </w:p>
    <w:p>
      <w:r>
        <w:t>10. Stabilization &amp; Field-shaping: Implement feedback control to stabilize the exhaust plume and internal field-shaping (use magnetic coils or RF phase control to produce steady pilot-wave corridor).</w:t>
      </w:r>
    </w:p>
    <w:p>
      <w:r>
        <w:t>11. Phase-locking &amp; Pilot-wave shaping: Use phased RF injectors or oscillators to create controlled oscillations in the cavity/nozzle region. Lock phases to maximize coherent forward emission and minimize backscatter.</w:t>
      </w:r>
    </w:p>
    <w:p>
      <w:r>
        <w:t>12. Thermal &amp; Structural Management: Ensure active cooling for coils and nozzle; manage plasma-induced erosion; add sacrificial liners if needed.</w:t>
      </w:r>
    </w:p>
    <w:p>
      <w:r>
        <w:t>13. Scaling Tests: Increase power, test pulsed vs continuous modes, and record scaling of thrust and Isp.</w:t>
      </w:r>
    </w:p>
    <w:p>
      <w:r>
        <w:t>14. Integration with Fusion (if available): Replace propellant feed with fusion product extraction stages; design magnetic funnels to capture charged fusion products into the nozzle.</w:t>
      </w:r>
    </w:p>
    <w:p>
      <w:r>
        <w:t>15. Safety &amp; Verification: Re-run all tests with independent calibrations; verify no hidden reactionless claims; document all power and momentum accounting.</w:t>
      </w:r>
    </w:p>
    <w:p>
      <w:pPr>
        <w:pStyle w:val="Heading1"/>
      </w:pPr>
      <w:r>
        <w:t>9. Stabilization Techniques (Field &amp; Control)</w:t>
      </w:r>
    </w:p>
    <w:p>
      <w:r>
        <w:t>- Active magnetic feedback: measure plume centroid and adjust coil currents in real-time to keep exhaust aligned with nozzle axis.</w:t>
        <w:br/>
        <w:t>- RF phase control: adjust phase and amplitude of RF injectors to maintain coherent forward wave emission (helps in pilot-wave shaping).</w:t>
        <w:br/>
        <w:t>- Superconducting persistent-mode coils: use persistent currents to provide stable background fields with minimal power consumption.</w:t>
        <w:br/>
        <w:t>- Plasma diagnostics feedback loop: use Langmuir probes, fast cameras, and spectrometers feeding a control system to stabilize density/temperature.</w:t>
        <w:br/>
        <w:t>- Mechanical damping and isolation: prevent structural vibrations from coupling into nozzle alignment; use flexures and active isolation mounts.</w:t>
      </w:r>
    </w:p>
    <w:p>
      <w:pPr>
        <w:pStyle w:val="Heading1"/>
      </w:pPr>
      <w:r>
        <w:t>10. Measurement &amp; Verification</w:t>
      </w:r>
    </w:p>
    <w:p>
      <w:r>
        <w:t>- Momentum accounting: measure emitted particle flux and energy distribution and compare integrated momentum flux with thrust-stand readings.</w:t>
        <w:br/>
        <w:t>- Power accounting: independently measure electrical power into RF generators, magnets, and cooling systems.</w:t>
        <w:br/>
        <w:t>- Control experiments: show zero thrust when the system is inert but powered (no mass/photons emitted), and positive thrust only when emission occurs.</w:t>
        <w:br/>
        <w:t>- Reproducibility: repeat runs and provide statistical error bars; check for thermal/chemical forces that could fake thrust.</w:t>
      </w:r>
    </w:p>
    <w:p>
      <w:pPr>
        <w:pStyle w:val="Heading1"/>
      </w:pPr>
      <w:r>
        <w:t>11. Energy Budget &amp; Example Calculations</w:t>
      </w:r>
    </w:p>
    <w:p>
      <w:r>
        <w:t>Example: For P = 1 MW</w:t>
        <w:br/>
        <w:t>- Photon thrust: F ≈ 3.3×10^-3 N</w:t>
        <w:br/>
        <w:t>- Plasma exhaust at v = 10,000 m/s: T ≈ 200 N</w:t>
        <w:br/>
        <w:t>Use these numbers to size power supplies, propellant tanks, and nozzle fields.</w:t>
      </w:r>
    </w:p>
    <w:p>
      <w:pPr>
        <w:pStyle w:val="Heading1"/>
      </w:pPr>
      <w:r>
        <w:t>12. Risks, Unknowns &amp; Research Topics</w:t>
      </w:r>
    </w:p>
    <w:p>
      <w:r>
        <w:t>- The jump from field structuring to actual metric engineering (warp bubble) is speculative and likely requires extreme energy densities and/or negative energy.</w:t>
        <w:br/>
        <w:t>- Plasma-material interactions can rapidly erode electrodes and liners—mitigation is required.</w:t>
        <w:br/>
        <w:t>- Superconducting systems add mass and cryogenic complexity; trade-offs must be studied.</w:t>
        <w:br/>
        <w:t>- Any claimed reactionless drive must be scrutinized and experimentally closed down via momentum/power accounting.</w:t>
      </w:r>
    </w:p>
    <w:p>
      <w:pPr>
        <w:pStyle w:val="Heading1"/>
      </w:pPr>
      <w:r>
        <w:t>13. Appendices: Parts &amp; Diagnostics (bench list)</w:t>
      </w:r>
    </w:p>
    <w:p>
      <w:r>
        <w:t>- High-voltage power supplies (kW→MW depending on scale)</w:t>
        <w:br/>
        <w:t>- RF generators and matching networks (for inductive plasmas)</w:t>
        <w:br/>
        <w:t>- Superconducting or high-field copper coils and current drivers</w:t>
        <w:br/>
        <w:t>- Vacuum chamber with feedthroughs and mass flow controllers</w:t>
        <w:br/>
        <w:t>- Torsion balance or thrust-stand (μN–N range depending on experiment)</w:t>
        <w:br/>
        <w:t>- Langmuir probes, optical spectrometer, Rogowski coils, calorimeters</w:t>
        <w:br/>
        <w:t>- Cryocoolers for superconducting magnets (if used)</w:t>
        <w:br/>
        <w:t>- Data acquisition system and real-time control ( FPGA / real-time CPU )</w:t>
        <w:br/>
      </w:r>
    </w:p>
    <w:p>
      <w:pPr>
        <w:pStyle w:val="Heading1"/>
      </w:pPr>
      <w:r>
        <w:t>14. Conceptual Diagrams</w:t>
      </w:r>
    </w:p>
    <w:p>
      <w:r>
        <w:t>Two conceptual diagrams: (1) Vacuum pilot-wave schematic showing apertures and pilot wave; (2) Side-by-side warp bubble vs field flow.</w:t>
      </w:r>
    </w:p>
    <w:p>
      <w:r>
        <w:drawing>
          <wp:inline xmlns:a="http://schemas.openxmlformats.org/drawingml/2006/main" xmlns:pic="http://schemas.openxmlformats.org/drawingml/2006/picture">
            <wp:extent cx="5029200" cy="3352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schematic_diagram_in_digital_illustration_depi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Figure 1: Vacuum Pilot-Wave Schematic</w:t>
      </w:r>
    </w:p>
    <w:p>
      <w:r>
        <w:drawing>
          <wp:inline xmlns:a="http://schemas.openxmlformats.org/drawingml/2006/main" xmlns:pic="http://schemas.openxmlformats.org/drawingml/2006/picture">
            <wp:extent cx="5029200" cy="3352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pair_of_diagrams_labeled_(a)_and_(b)_are_pres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Figure 2: Warp Bubble (geometry) vs Field/Particle Flow (mechanism)</w:t>
      </w:r>
    </w:p>
    <w:p>
      <w:r>
        <w:br/>
        <w:t>Document generated on: 2025-10-03 04:12 UTC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