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B3207"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CST-SYNCHRONIZED HYBRID DISK AIRCRAFT: A THEORETICAL FRAMEWORK FOR WINGLESS PLASMA-MAGNETIC VERTICAL LIFT SYSTEMS</w:t>
      </w:r>
    </w:p>
    <w:p w14:paraId="40CB115B"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Gabino Casanova</w:t>
      </w:r>
      <w:r w:rsidRPr="009B3BF0">
        <w:rPr>
          <w:rFonts w:ascii="Times New Roman" w:eastAsia="Times New Roman" w:hAnsi="Times New Roman" w:cs="Times New Roman"/>
          <w:kern w:val="0"/>
          <w14:ligatures w14:val="none"/>
        </w:rPr>
        <w:br/>
        <w:t>Independent Research Researcher and Systems Theorist</w:t>
      </w:r>
      <w:r w:rsidRPr="009B3BF0">
        <w:rPr>
          <w:rFonts w:ascii="Times New Roman" w:eastAsia="Times New Roman" w:hAnsi="Times New Roman" w:cs="Times New Roman"/>
          <w:kern w:val="0"/>
          <w14:ligatures w14:val="none"/>
        </w:rPr>
        <w:br/>
        <w:t>Brownsville, Texas, USA</w:t>
      </w:r>
      <w:r w:rsidRPr="009B3BF0">
        <w:rPr>
          <w:rFonts w:ascii="Times New Roman" w:eastAsia="Times New Roman" w:hAnsi="Times New Roman" w:cs="Times New Roman"/>
          <w:kern w:val="0"/>
          <w14:ligatures w14:val="none"/>
        </w:rPr>
        <w:br/>
        <w:t>Interstellar Star Clock Research Portal</w:t>
      </w:r>
    </w:p>
    <w:p w14:paraId="4965AF98"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Abstract</w:t>
      </w:r>
    </w:p>
    <w:p w14:paraId="5D0E2465"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This paper presents a theoretical framework for a CST-synchronized hybrid disk aircraft designed as a wingless vertical-lift aerospace platform integrating plasma propulsion, magnetic field control, hybrid energy systems, inertial stabilization concepts, and synchronized timing architectures. The study explores how a circular disk-shaped aerospace vehicle may theoretically achieve stable atmospheric lift and maneuverability using vectored plasma thrust, superconducting magnetic confinement systems, and synchronized control networks based on Cosmic Standard Time (CST) and atomic timing principles. The proposed system does not rely on traditional aerodynamic wings but instead utilizes downward plasma acceleration, toroidal magnetic field shaping, hybrid fuel cycles, and distributed thrust-vectoring structures. The paper also discusses the possible role of inertial-balancing disks and resonance-based stabilization systems within advanced propulsion architectures. While speculative in several areas, the framework attempts to connect established aerospace engineering principles with theoretical spacetime-control and field-synchronization concepts in a structured and academically transparent manner.</w:t>
      </w:r>
    </w:p>
    <w:p w14:paraId="02973027"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Scientific Disclaimer</w:t>
      </w:r>
    </w:p>
    <w:p w14:paraId="7D1F0C80"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 concepts presented in this paper combine established aerospace engineering, plasma physics, magnetic confinement systems, timing synchronization theory, and speculative theoretical extensions related to spacetime engineering and inertial-field control. Portions of this work remain hypothetical and are not experimentally validated within mainstream aerospace or physics research. No claim is made that gravity cancellation, faster-than-light travel, or operational warp-drive systems currently exist. The discussion is intended as a conceptual engineering and theoretical research framework designed to encourage structured scientific analysis, simulation development, and future experimental investigation.</w:t>
      </w:r>
    </w:p>
    <w:p w14:paraId="2B2F7D85"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Introduction</w:t>
      </w:r>
    </w:p>
    <w:p w14:paraId="57EF1AD3"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Modern aerospace systems rely primarily on aerodynamic lift surfaces, chemical propulsion, and reaction-mass thrust generation. However, advances in plasma propulsion, magnetic confinement systems, superconducting materials, artificial intelligence control systems, and synchronized timing architectures have opened theoretical possibilities for alternative flight platforms that reduce dependence on conventional wing structures. The CST-synchronized hybrid disk aircraft is proposed as a conceptual aerospace platform combining hybrid propulsion technologies with plasma-magnetic stabilization and synchronized systems management.</w:t>
      </w:r>
    </w:p>
    <w:p w14:paraId="0AE503BF"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lastRenderedPageBreak/>
        <w:t xml:space="preserve">The central idea of this framework is that a circular or toroidal aircraft geometry may provide advantages in </w:t>
      </w:r>
      <w:proofErr w:type="gramStart"/>
      <w:r w:rsidRPr="009B3BF0">
        <w:rPr>
          <w:rFonts w:ascii="Times New Roman" w:eastAsia="Times New Roman" w:hAnsi="Times New Roman" w:cs="Times New Roman"/>
          <w:kern w:val="0"/>
          <w14:ligatures w14:val="none"/>
        </w:rPr>
        <w:t>distributed</w:t>
      </w:r>
      <w:proofErr w:type="gramEnd"/>
      <w:r w:rsidRPr="009B3BF0">
        <w:rPr>
          <w:rFonts w:ascii="Times New Roman" w:eastAsia="Times New Roman" w:hAnsi="Times New Roman" w:cs="Times New Roman"/>
          <w:kern w:val="0"/>
          <w14:ligatures w14:val="none"/>
        </w:rPr>
        <w:t xml:space="preserve"> thrust symmetry, magnetic field balancing, thermal dissipation, and multi-directional maneuverability. Unlike traditional fixed-wing aircraft, the disk platform would theoretically achieve lift through vectored downward plasma thrust combined with real-time magnetic field stabilization and synchronized propulsion control.</w:t>
      </w:r>
    </w:p>
    <w:p w14:paraId="0ECD69DE"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Theoretical Foundation</w:t>
      </w:r>
    </w:p>
    <w:p w14:paraId="796314F4"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 proposed disk aircraft is built around the requirement that upward thrust must exceed gravitational weight:</w:t>
      </w:r>
    </w:p>
    <w:p w14:paraId="6927D464"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T&gt;mg</m:t>
          </m:r>
        </m:oMath>
      </m:oMathPara>
    </w:p>
    <w:p w14:paraId="380BF4FE"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Where:</w:t>
      </w:r>
    </w:p>
    <w:p w14:paraId="3DC286FF"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 = upward thrust force</w:t>
      </w:r>
      <w:r w:rsidRPr="009B3BF0">
        <w:rPr>
          <w:rFonts w:ascii="Times New Roman" w:eastAsia="Times New Roman" w:hAnsi="Times New Roman" w:cs="Times New Roman"/>
          <w:kern w:val="0"/>
          <w14:ligatures w14:val="none"/>
        </w:rPr>
        <w:br/>
        <w:t>m = total vehicle mass</w:t>
      </w:r>
      <w:r w:rsidRPr="009B3BF0">
        <w:rPr>
          <w:rFonts w:ascii="Times New Roman" w:eastAsia="Times New Roman" w:hAnsi="Times New Roman" w:cs="Times New Roman"/>
          <w:kern w:val="0"/>
          <w14:ligatures w14:val="none"/>
        </w:rPr>
        <w:br/>
        <w:t>g = gravitational acceleration</w:t>
      </w:r>
    </w:p>
    <w:p w14:paraId="6AC1AC7E"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This requirement remains fully consistent with classical mechanics and aerospace engineering. The aircraft therefore does not eliminate gravity but instead seeks to optimize propulsion efficiency, thrust distribution, stabilization, and control through integrated hybrid systems.</w:t>
      </w:r>
    </w:p>
    <w:p w14:paraId="23033F08"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 hybrid framework incorporates multiple propulsion layers:</w:t>
      </w:r>
    </w:p>
    <w:p w14:paraId="4E95E6E7" w14:textId="77777777" w:rsidR="009B3BF0" w:rsidRPr="009B3BF0" w:rsidRDefault="009B3BF0" w:rsidP="009B3BF0">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chemical combustion systems for high-thrust takeoff </w:t>
      </w:r>
    </w:p>
    <w:p w14:paraId="67C81351" w14:textId="77777777" w:rsidR="009B3BF0" w:rsidRPr="009B3BF0" w:rsidRDefault="009B3BF0" w:rsidP="009B3BF0">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electric power systems for sustained energy generation </w:t>
      </w:r>
    </w:p>
    <w:p w14:paraId="0199FDBF" w14:textId="77777777" w:rsidR="009B3BF0" w:rsidRPr="009B3BF0" w:rsidRDefault="009B3BF0" w:rsidP="009B3BF0">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plasma acceleration systems for directional thrust </w:t>
      </w:r>
    </w:p>
    <w:p w14:paraId="0BA82A68" w14:textId="77777777" w:rsidR="009B3BF0" w:rsidRPr="009B3BF0" w:rsidRDefault="009B3BF0" w:rsidP="009B3BF0">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magnetic nozzle confinement systems </w:t>
      </w:r>
    </w:p>
    <w:p w14:paraId="4D6F9D17" w14:textId="77777777" w:rsidR="009B3BF0" w:rsidRPr="009B3BF0" w:rsidRDefault="009B3BF0" w:rsidP="009B3BF0">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CST and atomic-time synchronization systems </w:t>
      </w:r>
    </w:p>
    <w:p w14:paraId="4DEA615F" w14:textId="77777777" w:rsidR="009B3BF0" w:rsidRPr="009B3BF0" w:rsidRDefault="009B3BF0" w:rsidP="009B3BF0">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thermal management structures </w:t>
      </w:r>
    </w:p>
    <w:p w14:paraId="33A64BC9" w14:textId="77777777" w:rsidR="009B3BF0" w:rsidRPr="009B3BF0" w:rsidRDefault="009B3BF0" w:rsidP="009B3BF0">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AI-assisted stabilization and control systems </w:t>
      </w:r>
    </w:p>
    <w:p w14:paraId="0DB6226F"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 proposed craft functions conceptually as a vertical-lift plasma vehicle rather than a conventional aerodynamic aircraft.</w:t>
      </w:r>
    </w:p>
    <w:p w14:paraId="1F53A995"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Hybrid Propulsion Architecture</w:t>
      </w:r>
    </w:p>
    <w:p w14:paraId="679D87E0"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 propulsion system is theoretically divided into several operational layers.</w:t>
      </w:r>
    </w:p>
    <w:p w14:paraId="217298E8"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Fuel Storage and Processing</w:t>
      </w:r>
    </w:p>
    <w:p w14:paraId="4460D1C6"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 upper compartments contain multi-fuel storage systems designed to support several possible propellants, including hydrogen, methane, ammonia, xenon, lithium, or other plasma-compatible working materials. These systems regulate fuel flow, pressure stabilization, and injection timing.</w:t>
      </w:r>
    </w:p>
    <w:p w14:paraId="515C7C6F"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lastRenderedPageBreak/>
        <w:t>Hybrid fuel operation is important because different propulsion phases require different energy-density characteristics. High-thrust launch conditions favor chemical systems, while long-duration sustained operations may favor electric or plasma-based propulsion.</w:t>
      </w:r>
    </w:p>
    <w:p w14:paraId="641E908E"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Energy Generation Systems</w:t>
      </w:r>
    </w:p>
    <w:p w14:paraId="039C7673"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 central energy section integrates multiple power-generation concepts including turbines, superconducting electrical systems, advanced batteries, fuel cells, or future compact nuclear-electric systems. Electrical energy generated within this section powers plasma ionization chambers, magnetic field generators, onboard systems, and flight-control architectures.</w:t>
      </w:r>
    </w:p>
    <w:p w14:paraId="2478CB9B"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Future theoretical extensions may involve compact fusion-assisted plasma systems or advanced nuclear-electric propulsion technologies </w:t>
      </w:r>
      <w:proofErr w:type="gramStart"/>
      <w:r w:rsidRPr="009B3BF0">
        <w:rPr>
          <w:rFonts w:ascii="Times New Roman" w:eastAsia="Times New Roman" w:hAnsi="Times New Roman" w:cs="Times New Roman"/>
          <w:kern w:val="0"/>
          <w14:ligatures w14:val="none"/>
        </w:rPr>
        <w:t>similar to</w:t>
      </w:r>
      <w:proofErr w:type="gramEnd"/>
      <w:r w:rsidRPr="009B3BF0">
        <w:rPr>
          <w:rFonts w:ascii="Times New Roman" w:eastAsia="Times New Roman" w:hAnsi="Times New Roman" w:cs="Times New Roman"/>
          <w:kern w:val="0"/>
          <w14:ligatures w14:val="none"/>
        </w:rPr>
        <w:t xml:space="preserve"> concepts explored by NASA and other aerospace agencies.</w:t>
      </w:r>
    </w:p>
    <w:p w14:paraId="4927CB21"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Plasma Generation and Acceleration</w:t>
      </w:r>
    </w:p>
    <w:p w14:paraId="16A89851"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Working gases are ionized into plasma using induction, microwave, </w:t>
      </w:r>
      <w:proofErr w:type="gramStart"/>
      <w:r w:rsidRPr="009B3BF0">
        <w:rPr>
          <w:rFonts w:ascii="Times New Roman" w:eastAsia="Times New Roman" w:hAnsi="Times New Roman" w:cs="Times New Roman"/>
          <w:kern w:val="0"/>
          <w14:ligatures w14:val="none"/>
        </w:rPr>
        <w:t>radio-frequency</w:t>
      </w:r>
      <w:proofErr w:type="gramEnd"/>
      <w:r w:rsidRPr="009B3BF0">
        <w:rPr>
          <w:rFonts w:ascii="Times New Roman" w:eastAsia="Times New Roman" w:hAnsi="Times New Roman" w:cs="Times New Roman"/>
          <w:kern w:val="0"/>
          <w14:ligatures w14:val="none"/>
        </w:rPr>
        <w:t>, or electric arc systems. Plasma is then confined and accelerated using magnetic field structures.</w:t>
      </w:r>
    </w:p>
    <w:p w14:paraId="5CE82168"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The acceleration principle resembles </w:t>
      </w:r>
      <w:proofErr w:type="spellStart"/>
      <w:r w:rsidRPr="009B3BF0">
        <w:rPr>
          <w:rFonts w:ascii="Times New Roman" w:eastAsia="Times New Roman" w:hAnsi="Times New Roman" w:cs="Times New Roman"/>
          <w:kern w:val="0"/>
          <w14:ligatures w14:val="none"/>
        </w:rPr>
        <w:t>magnetoplasmadynamic</w:t>
      </w:r>
      <w:proofErr w:type="spellEnd"/>
      <w:r w:rsidRPr="009B3BF0">
        <w:rPr>
          <w:rFonts w:ascii="Times New Roman" w:eastAsia="Times New Roman" w:hAnsi="Times New Roman" w:cs="Times New Roman"/>
          <w:kern w:val="0"/>
          <w14:ligatures w14:val="none"/>
        </w:rPr>
        <w:t xml:space="preserve"> propulsion concepts currently studied for space propulsion systems. Plasma confinement requires stable electromagnetic shaping to prevent energy loss, thermal instability, and structural damage.</w:t>
      </w:r>
    </w:p>
    <w:p w14:paraId="505685A5"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 magnetic acceleration stage uses superconducting toroidal coils and vectored nozzle systems to direct plasma downward in a 360-degree thrust configuration.</w:t>
      </w:r>
    </w:p>
    <w:p w14:paraId="2251F63E"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Magnetic Field Stabilization</w:t>
      </w:r>
    </w:p>
    <w:p w14:paraId="3D606032"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Magnetic fields within the disk structure serve several purposes:</w:t>
      </w:r>
    </w:p>
    <w:p w14:paraId="3557366E" w14:textId="77777777" w:rsidR="009B3BF0" w:rsidRPr="009B3BF0" w:rsidRDefault="009B3BF0" w:rsidP="009B3BF0">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plasma confinement </w:t>
      </w:r>
    </w:p>
    <w:p w14:paraId="6DCFF2C0" w14:textId="77777777" w:rsidR="009B3BF0" w:rsidRPr="009B3BF0" w:rsidRDefault="009B3BF0" w:rsidP="009B3BF0">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thrust-vector shaping </w:t>
      </w:r>
    </w:p>
    <w:p w14:paraId="5DA092F4" w14:textId="77777777" w:rsidR="009B3BF0" w:rsidRPr="009B3BF0" w:rsidRDefault="009B3BF0" w:rsidP="009B3BF0">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stabilization during hover </w:t>
      </w:r>
    </w:p>
    <w:p w14:paraId="7432875C" w14:textId="77777777" w:rsidR="009B3BF0" w:rsidRPr="009B3BF0" w:rsidRDefault="009B3BF0" w:rsidP="009B3BF0">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rotational balance </w:t>
      </w:r>
    </w:p>
    <w:p w14:paraId="517FC3C4" w14:textId="77777777" w:rsidR="009B3BF0" w:rsidRPr="009B3BF0" w:rsidRDefault="009B3BF0" w:rsidP="009B3BF0">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inertial-force distribution </w:t>
      </w:r>
    </w:p>
    <w:p w14:paraId="2D860D0C" w14:textId="77777777" w:rsidR="009B3BF0" w:rsidRPr="009B3BF0" w:rsidRDefault="009B3BF0" w:rsidP="009B3BF0">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vibration reduction </w:t>
      </w:r>
    </w:p>
    <w:p w14:paraId="0AAF4CD8" w14:textId="77777777" w:rsidR="009B3BF0" w:rsidRPr="009B3BF0" w:rsidRDefault="009B3BF0" w:rsidP="009B3BF0">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field symmetry management </w:t>
      </w:r>
    </w:p>
    <w:p w14:paraId="0223B8E3"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 circular disk geometry naturally supports toroidal magnetic-field pathways. This allows the craft to distribute stresses and plasma flow more evenly than traditional directional-engine architectures.</w:t>
      </w:r>
    </w:p>
    <w:p w14:paraId="2F789BB5"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Superconducting coil systems may theoretically allow stronger magnetic fields with reduced resistive losses, although significant thermal and energy challenges remain.</w:t>
      </w:r>
    </w:p>
    <w:p w14:paraId="40FA2DEC"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lastRenderedPageBreak/>
        <w:t>Gravity Disk and Inertial Stabilization Concepts</w:t>
      </w:r>
    </w:p>
    <w:p w14:paraId="58C085EF"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 so-called gravity disk within the framework should not be interpreted as a proven antigravity device. Instead, the concept is better understood as a theoretical inertial-balancing and stabilization structure.</w:t>
      </w:r>
    </w:p>
    <w:p w14:paraId="6CDEFB70"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 central disk may function as:</w:t>
      </w:r>
    </w:p>
    <w:p w14:paraId="4160DAD1" w14:textId="77777777" w:rsidR="009B3BF0" w:rsidRPr="009B3BF0" w:rsidRDefault="009B3BF0" w:rsidP="009B3BF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a field-balancing platform </w:t>
      </w:r>
    </w:p>
    <w:p w14:paraId="3BB769C1" w14:textId="77777777" w:rsidR="009B3BF0" w:rsidRPr="009B3BF0" w:rsidRDefault="009B3BF0" w:rsidP="009B3BF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rotational stabilizer </w:t>
      </w:r>
    </w:p>
    <w:p w14:paraId="0660E530" w14:textId="77777777" w:rsidR="009B3BF0" w:rsidRPr="009B3BF0" w:rsidRDefault="009B3BF0" w:rsidP="009B3BF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inertial dampening structure </w:t>
      </w:r>
    </w:p>
    <w:p w14:paraId="4E450E45" w14:textId="77777777" w:rsidR="009B3BF0" w:rsidRPr="009B3BF0" w:rsidRDefault="009B3BF0" w:rsidP="009B3BF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resonance-management system </w:t>
      </w:r>
    </w:p>
    <w:p w14:paraId="4A4150DF" w14:textId="77777777" w:rsidR="009B3BF0" w:rsidRPr="009B3BF0" w:rsidRDefault="009B3BF0" w:rsidP="009B3BF0">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magnetic symmetry controller </w:t>
      </w:r>
    </w:p>
    <w:p w14:paraId="46C852C1"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Theoretical discussions involving spacetime resonance or inertial-field effects remain speculative. However, synchronized rotational field structures may still provide engineering advantages in vibration reduction, stability control, and distributed-force balancing.</w:t>
      </w:r>
    </w:p>
    <w:p w14:paraId="0E1B847E"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CST Synchronization and Timing Control</w:t>
      </w:r>
    </w:p>
    <w:p w14:paraId="50B68919"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One of the unique aspects of the framework is the proposed use of Cosmic Standard Time synchronization integrated with atomic timing references.</w:t>
      </w:r>
    </w:p>
    <w:p w14:paraId="05B66E2F"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 synchronization architecture would theoretically coordinate:</w:t>
      </w:r>
    </w:p>
    <w:p w14:paraId="42ADBC58" w14:textId="77777777" w:rsidR="009B3BF0" w:rsidRPr="009B3BF0" w:rsidRDefault="009B3BF0" w:rsidP="009B3BF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fuel injection timing </w:t>
      </w:r>
    </w:p>
    <w:p w14:paraId="1E1F4972" w14:textId="77777777" w:rsidR="009B3BF0" w:rsidRPr="009B3BF0" w:rsidRDefault="009B3BF0" w:rsidP="009B3BF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plasma pulse timing </w:t>
      </w:r>
    </w:p>
    <w:p w14:paraId="31516D36" w14:textId="77777777" w:rsidR="009B3BF0" w:rsidRPr="009B3BF0" w:rsidRDefault="009B3BF0" w:rsidP="009B3BF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magnetic field modulation </w:t>
      </w:r>
    </w:p>
    <w:p w14:paraId="1BD77F72" w14:textId="77777777" w:rsidR="009B3BF0" w:rsidRPr="009B3BF0" w:rsidRDefault="009B3BF0" w:rsidP="009B3BF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nozzle vector control </w:t>
      </w:r>
    </w:p>
    <w:p w14:paraId="3540EF30" w14:textId="77777777" w:rsidR="009B3BF0" w:rsidRPr="009B3BF0" w:rsidRDefault="009B3BF0" w:rsidP="009B3BF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thermal balancing </w:t>
      </w:r>
    </w:p>
    <w:p w14:paraId="1724D5D0" w14:textId="77777777" w:rsidR="009B3BF0" w:rsidRPr="009B3BF0" w:rsidRDefault="009B3BF0" w:rsidP="009B3BF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flight-control adjustments </w:t>
      </w:r>
    </w:p>
    <w:p w14:paraId="7B2B4A13" w14:textId="77777777" w:rsidR="009B3BF0" w:rsidRPr="009B3BF0" w:rsidRDefault="009B3BF0" w:rsidP="009B3BF0">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AI decision systems </w:t>
      </w:r>
    </w:p>
    <w:p w14:paraId="46C5BFFA"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Modern aerospace engineering already relies heavily on synchronized timing systems. The CST extension proposes a broader synchronization layer integrating navigation, propulsion timing, inertial monitoring, and external reference coordination.</w:t>
      </w:r>
    </w:p>
    <w:p w14:paraId="2B62A413"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 synchronization concept resembles distributed systems engineering more than exotic physics and may represent one of the more practically achievable portions of the framework.</w:t>
      </w:r>
    </w:p>
    <w:p w14:paraId="6EA9C575" w14:textId="77777777" w:rsidR="009B3BF0" w:rsidRDefault="009B3BF0" w:rsidP="009B3BF0">
      <w:pPr>
        <w:spacing w:before="100" w:beforeAutospacing="1" w:after="100" w:afterAutospacing="1" w:line="240" w:lineRule="auto"/>
        <w:rPr>
          <w:rFonts w:ascii="Times New Roman" w:eastAsia="Times New Roman" w:hAnsi="Times New Roman" w:cs="Times New Roman"/>
          <w:b/>
          <w:bCs/>
          <w:kern w:val="0"/>
          <w14:ligatures w14:val="none"/>
        </w:rPr>
      </w:pPr>
    </w:p>
    <w:p w14:paraId="311812EB" w14:textId="77777777" w:rsidR="009B3BF0" w:rsidRDefault="009B3BF0" w:rsidP="009B3BF0">
      <w:pPr>
        <w:spacing w:before="100" w:beforeAutospacing="1" w:after="100" w:afterAutospacing="1" w:line="240" w:lineRule="auto"/>
        <w:rPr>
          <w:rFonts w:ascii="Times New Roman" w:eastAsia="Times New Roman" w:hAnsi="Times New Roman" w:cs="Times New Roman"/>
          <w:b/>
          <w:bCs/>
          <w:kern w:val="0"/>
          <w14:ligatures w14:val="none"/>
        </w:rPr>
      </w:pPr>
    </w:p>
    <w:p w14:paraId="5A479190" w14:textId="77777777" w:rsidR="009B3BF0" w:rsidRDefault="009B3BF0" w:rsidP="009B3BF0">
      <w:pPr>
        <w:spacing w:before="100" w:beforeAutospacing="1" w:after="100" w:afterAutospacing="1" w:line="240" w:lineRule="auto"/>
        <w:rPr>
          <w:rFonts w:ascii="Times New Roman" w:eastAsia="Times New Roman" w:hAnsi="Times New Roman" w:cs="Times New Roman"/>
          <w:b/>
          <w:bCs/>
          <w:kern w:val="0"/>
          <w14:ligatures w14:val="none"/>
        </w:rPr>
      </w:pPr>
    </w:p>
    <w:p w14:paraId="023D46F8" w14:textId="039A875C"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lastRenderedPageBreak/>
        <w:t>Potential Aerospace Applications</w:t>
      </w:r>
    </w:p>
    <w:p w14:paraId="03D85850"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If partially realized, a hybrid disk aircraft platform could theoretically support:</w:t>
      </w:r>
    </w:p>
    <w:p w14:paraId="1DC09BBB" w14:textId="77777777" w:rsidR="009B3BF0" w:rsidRPr="009B3BF0" w:rsidRDefault="009B3BF0" w:rsidP="009B3BF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vertical takeoff and landing operations </w:t>
      </w:r>
    </w:p>
    <w:p w14:paraId="012314EB" w14:textId="77777777" w:rsidR="009B3BF0" w:rsidRPr="009B3BF0" w:rsidRDefault="009B3BF0" w:rsidP="009B3BF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stable hovering </w:t>
      </w:r>
    </w:p>
    <w:p w14:paraId="39E6243F" w14:textId="77777777" w:rsidR="009B3BF0" w:rsidRPr="009B3BF0" w:rsidRDefault="009B3BF0" w:rsidP="009B3BF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high-maneuverability atmospheric flight </w:t>
      </w:r>
    </w:p>
    <w:p w14:paraId="4D094ECE" w14:textId="77777777" w:rsidR="009B3BF0" w:rsidRPr="009B3BF0" w:rsidRDefault="009B3BF0" w:rsidP="009B3BF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high-altitude operations </w:t>
      </w:r>
    </w:p>
    <w:p w14:paraId="79210E39" w14:textId="77777777" w:rsidR="009B3BF0" w:rsidRPr="009B3BF0" w:rsidRDefault="009B3BF0" w:rsidP="009B3BF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near-space transition systems </w:t>
      </w:r>
    </w:p>
    <w:p w14:paraId="042B954D" w14:textId="77777777" w:rsidR="009B3BF0" w:rsidRPr="009B3BF0" w:rsidRDefault="009B3BF0" w:rsidP="009B3BF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reconnaissance platforms </w:t>
      </w:r>
    </w:p>
    <w:p w14:paraId="170B505D" w14:textId="77777777" w:rsidR="009B3BF0" w:rsidRPr="009B3BF0" w:rsidRDefault="009B3BF0" w:rsidP="009B3BF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rapid-response transport systems </w:t>
      </w:r>
    </w:p>
    <w:p w14:paraId="2816CBC4" w14:textId="77777777" w:rsidR="009B3BF0" w:rsidRPr="009B3BF0" w:rsidRDefault="009B3BF0" w:rsidP="009B3BF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experimental propulsion research </w:t>
      </w:r>
    </w:p>
    <w:p w14:paraId="0D93D8BA"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9B3BF0">
        <w:rPr>
          <w:rFonts w:ascii="Times New Roman" w:eastAsia="Times New Roman" w:hAnsi="Times New Roman" w:cs="Times New Roman"/>
          <w:kern w:val="0"/>
          <w14:ligatures w14:val="none"/>
        </w:rPr>
        <w:t>The circular</w:t>
      </w:r>
      <w:proofErr w:type="gramEnd"/>
      <w:r w:rsidRPr="009B3BF0">
        <w:rPr>
          <w:rFonts w:ascii="Times New Roman" w:eastAsia="Times New Roman" w:hAnsi="Times New Roman" w:cs="Times New Roman"/>
          <w:kern w:val="0"/>
          <w14:ligatures w14:val="none"/>
        </w:rPr>
        <w:t xml:space="preserve"> geometry may also reduce certain aerodynamic asymmetries during hover and low-speed maneuvering.</w:t>
      </w:r>
    </w:p>
    <w:p w14:paraId="7BEE05B9"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Engineering Challenges</w:t>
      </w:r>
    </w:p>
    <w:p w14:paraId="755E8636"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Major engineering limitations remain significant.</w:t>
      </w:r>
    </w:p>
    <w:p w14:paraId="464FB722"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These include:</w:t>
      </w:r>
    </w:p>
    <w:p w14:paraId="7B317461" w14:textId="77777777" w:rsidR="009B3BF0" w:rsidRPr="009B3BF0" w:rsidRDefault="009B3BF0" w:rsidP="009B3BF0">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extreme thermal loads </w:t>
      </w:r>
    </w:p>
    <w:p w14:paraId="334AB60F" w14:textId="77777777" w:rsidR="009B3BF0" w:rsidRPr="009B3BF0" w:rsidRDefault="009B3BF0" w:rsidP="009B3BF0">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plasma instability </w:t>
      </w:r>
    </w:p>
    <w:p w14:paraId="54372B00" w14:textId="77777777" w:rsidR="009B3BF0" w:rsidRPr="009B3BF0" w:rsidRDefault="009B3BF0" w:rsidP="009B3BF0">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superconducting cooling requirements </w:t>
      </w:r>
    </w:p>
    <w:p w14:paraId="637978C3" w14:textId="77777777" w:rsidR="009B3BF0" w:rsidRPr="009B3BF0" w:rsidRDefault="009B3BF0" w:rsidP="009B3BF0">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power-density limitations </w:t>
      </w:r>
    </w:p>
    <w:p w14:paraId="461AC1E8" w14:textId="77777777" w:rsidR="009B3BF0" w:rsidRPr="009B3BF0" w:rsidRDefault="009B3BF0" w:rsidP="009B3BF0">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magnetic field containment </w:t>
      </w:r>
    </w:p>
    <w:p w14:paraId="0B8DBECC" w14:textId="77777777" w:rsidR="009B3BF0" w:rsidRPr="009B3BF0" w:rsidRDefault="009B3BF0" w:rsidP="009B3BF0">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material erosion </w:t>
      </w:r>
    </w:p>
    <w:p w14:paraId="57DD3F98" w14:textId="77777777" w:rsidR="009B3BF0" w:rsidRPr="009B3BF0" w:rsidRDefault="009B3BF0" w:rsidP="009B3BF0">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structural fatigue </w:t>
      </w:r>
    </w:p>
    <w:p w14:paraId="5DDD9FDB" w14:textId="77777777" w:rsidR="009B3BF0" w:rsidRPr="009B3BF0" w:rsidRDefault="009B3BF0" w:rsidP="009B3BF0">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energy storage limitations </w:t>
      </w:r>
    </w:p>
    <w:p w14:paraId="1A4A7525" w14:textId="77777777" w:rsidR="009B3BF0" w:rsidRPr="009B3BF0" w:rsidRDefault="009B3BF0" w:rsidP="009B3BF0">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radiation shielding </w:t>
      </w:r>
    </w:p>
    <w:p w14:paraId="357CC517" w14:textId="77777777" w:rsidR="009B3BF0" w:rsidRPr="009B3BF0" w:rsidRDefault="009B3BF0" w:rsidP="009B3BF0">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system integration complexity </w:t>
      </w:r>
    </w:p>
    <w:p w14:paraId="0EA1C31F"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No currently existing aerospace platform demonstrates all components operating together within a fully integrated wingless plasma disk aircraft.</w:t>
      </w:r>
    </w:p>
    <w:p w14:paraId="6EC745D7"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Warp Drive and Spacetime Extensions</w:t>
      </w:r>
    </w:p>
    <w:p w14:paraId="6DCF312E"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Some extensions of the CST framework discuss warp-drive resonance, spacetime engineering, and temporal-field synchronization. These concepts remain highly theoretical and experimentally unverified.</w:t>
      </w:r>
    </w:p>
    <w:p w14:paraId="409E9717"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General relativity allows mathematical warp solutions such as the Alcubierre metric, but current physics predicts enormous energy requirements and unresolved exotic-matter constraints.</w:t>
      </w:r>
    </w:p>
    <w:p w14:paraId="1F171E0E"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lastRenderedPageBreak/>
        <w:t>At present, no verified experimental evidence demonstrates operational spacetime propulsion or gravity cancellation systems.</w:t>
      </w:r>
    </w:p>
    <w:p w14:paraId="54E8CA9D"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 xml:space="preserve">Therefore, </w:t>
      </w:r>
      <w:proofErr w:type="gramStart"/>
      <w:r w:rsidRPr="009B3BF0">
        <w:rPr>
          <w:rFonts w:ascii="Times New Roman" w:eastAsia="Times New Roman" w:hAnsi="Times New Roman" w:cs="Times New Roman"/>
          <w:kern w:val="0"/>
          <w14:ligatures w14:val="none"/>
        </w:rPr>
        <w:t>warp</w:t>
      </w:r>
      <w:proofErr w:type="gramEnd"/>
      <w:r w:rsidRPr="009B3BF0">
        <w:rPr>
          <w:rFonts w:ascii="Times New Roman" w:eastAsia="Times New Roman" w:hAnsi="Times New Roman" w:cs="Times New Roman"/>
          <w:kern w:val="0"/>
          <w14:ligatures w14:val="none"/>
        </w:rPr>
        <w:t>-drive discussions within this framework should be treated as speculative theoretical extensions rather than established engineering technologies.</w:t>
      </w:r>
    </w:p>
    <w:p w14:paraId="01B1C67A"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Conclusion</w:t>
      </w:r>
    </w:p>
    <w:p w14:paraId="1C17D6D7"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 CST-synchronized hybrid disk aircraft represents a conceptual attempt to integrate hybrid propulsion, plasma acceleration, magnetic confinement, synchronized timing architectures, and inertial stabilization theories into a unified wingless aerospace platform. While several aspects remain speculative, portions of the framework align with ongoing developments in plasma propulsion, superconducting magnetic systems, AI-assisted flight control, and advanced energy management technologies.</w:t>
      </w:r>
    </w:p>
    <w:p w14:paraId="5999C980"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The most realistic near-term interpretation of the concept is a vertical-lift hybrid plasma vehicle using distributed vectored thrust and magnetic stabilization rather than true gravity manipulation or warp propulsion. Continued advances in plasma physics, high-temperature superconductors, compact power systems, thermal materials, and synchronized control architectures may gradually move portions of this framework closer to practical aerospace experimentation.</w:t>
      </w:r>
    </w:p>
    <w:p w14:paraId="7BD42AB5"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b/>
          <w:bCs/>
          <w:kern w:val="0"/>
          <w14:ligatures w14:val="none"/>
        </w:rPr>
        <w:t>References</w:t>
      </w:r>
    </w:p>
    <w:p w14:paraId="15776196"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NASA. “</w:t>
      </w:r>
      <w:proofErr w:type="spellStart"/>
      <w:r w:rsidRPr="009B3BF0">
        <w:rPr>
          <w:rFonts w:ascii="Times New Roman" w:eastAsia="Times New Roman" w:hAnsi="Times New Roman" w:cs="Times New Roman"/>
          <w:kern w:val="0"/>
          <w14:ligatures w14:val="none"/>
        </w:rPr>
        <w:t>Magnetoplasmadynamic</w:t>
      </w:r>
      <w:proofErr w:type="spellEnd"/>
      <w:r w:rsidRPr="009B3BF0">
        <w:rPr>
          <w:rFonts w:ascii="Times New Roman" w:eastAsia="Times New Roman" w:hAnsi="Times New Roman" w:cs="Times New Roman"/>
          <w:kern w:val="0"/>
          <w14:ligatures w14:val="none"/>
        </w:rPr>
        <w:t xml:space="preserve"> Propulsion Research.” NASA Glenn Research Center.</w:t>
      </w:r>
    </w:p>
    <w:p w14:paraId="1FE76679"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Jet Propulsion Laboratory. “Lithium-Fed MPD Thruster Research for Deep Space Missions.”</w:t>
      </w:r>
    </w:p>
    <w:p w14:paraId="0B530587"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Miguel Alcubierre. “The Warp Drive: Hyper-Fast Travel Within General Relativity.” Classical and Quantum Gravity, 1994.</w:t>
      </w:r>
    </w:p>
    <w:p w14:paraId="0B07D028"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European Space Agency. “LISA Gravitational Wave Observatory Mission.”</w:t>
      </w:r>
    </w:p>
    <w:p w14:paraId="45C94647"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Plasma Physics literature on magnetically confined plasma propulsion systems.</w:t>
      </w:r>
    </w:p>
    <w:p w14:paraId="5599F107"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Aerospace Engineering research on vectored thrust vertical-lift systems.</w:t>
      </w:r>
    </w:p>
    <w:p w14:paraId="0DC06E37"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Superconductivity research on high-temperature superconducting magnetic coils.</w:t>
      </w:r>
    </w:p>
    <w:p w14:paraId="2A50F133" w14:textId="77777777" w:rsidR="009B3BF0" w:rsidRPr="009B3BF0" w:rsidRDefault="009B3BF0" w:rsidP="009B3BF0">
      <w:pPr>
        <w:spacing w:before="100" w:beforeAutospacing="1" w:after="100" w:afterAutospacing="1" w:line="240" w:lineRule="auto"/>
        <w:rPr>
          <w:rFonts w:ascii="Times New Roman" w:eastAsia="Times New Roman" w:hAnsi="Times New Roman" w:cs="Times New Roman"/>
          <w:kern w:val="0"/>
          <w14:ligatures w14:val="none"/>
        </w:rPr>
      </w:pPr>
      <w:r w:rsidRPr="009B3BF0">
        <w:rPr>
          <w:rFonts w:ascii="Times New Roman" w:eastAsia="Times New Roman" w:hAnsi="Times New Roman" w:cs="Times New Roman"/>
          <w:kern w:val="0"/>
          <w14:ligatures w14:val="none"/>
        </w:rPr>
        <w:t>Magnetohydrodynamics studies related to plasma acceleration and confinement systems.</w:t>
      </w:r>
    </w:p>
    <w:p w14:paraId="48D12059" w14:textId="77777777" w:rsidR="003B2438" w:rsidRDefault="003B2438"/>
    <w:p w14:paraId="57C5E7BB" w14:textId="77777777" w:rsidR="009B3BF0" w:rsidRDefault="009B3BF0"/>
    <w:p w14:paraId="68E2A169" w14:textId="77777777" w:rsidR="009B3BF0" w:rsidRDefault="009B3BF0"/>
    <w:p w14:paraId="7F547EA0" w14:textId="77777777" w:rsidR="009B3BF0" w:rsidRDefault="009B3BF0"/>
    <w:p w14:paraId="0F45C7CE" w14:textId="281074DE" w:rsidR="009B3BF0" w:rsidRDefault="009B3BF0">
      <w:r>
        <w:rPr>
          <w:noProof/>
        </w:rPr>
        <w:lastRenderedPageBreak/>
        <w:drawing>
          <wp:inline distT="0" distB="0" distL="0" distR="0" wp14:anchorId="495E0647" wp14:editId="73345225">
            <wp:extent cx="5943600" cy="3962400"/>
            <wp:effectExtent l="0" t="0" r="0" b="0"/>
            <wp:docPr id="110117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78829" name="Picture 110117882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noProof/>
        </w:rPr>
        <w:drawing>
          <wp:inline distT="0" distB="0" distL="0" distR="0" wp14:anchorId="43B40D18" wp14:editId="6FC4FD3F">
            <wp:extent cx="5943600" cy="3962400"/>
            <wp:effectExtent l="0" t="0" r="0" b="0"/>
            <wp:docPr id="1422004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04242" name="Picture 142200424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noProof/>
        </w:rPr>
        <w:lastRenderedPageBreak/>
        <w:drawing>
          <wp:inline distT="0" distB="0" distL="0" distR="0" wp14:anchorId="1A602E1C" wp14:editId="7B686A5A">
            <wp:extent cx="5943600" cy="3962400"/>
            <wp:effectExtent l="0" t="0" r="0" b="0"/>
            <wp:docPr id="1274112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12560" name="Picture 12741125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9B3B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25332"/>
    <w:multiLevelType w:val="multilevel"/>
    <w:tmpl w:val="DA7EC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6D584F"/>
    <w:multiLevelType w:val="multilevel"/>
    <w:tmpl w:val="4926C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050AE0"/>
    <w:multiLevelType w:val="multilevel"/>
    <w:tmpl w:val="E44C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026159"/>
    <w:multiLevelType w:val="multilevel"/>
    <w:tmpl w:val="AAF8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591B4E"/>
    <w:multiLevelType w:val="multilevel"/>
    <w:tmpl w:val="506C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0B73E2"/>
    <w:multiLevelType w:val="multilevel"/>
    <w:tmpl w:val="D6C4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7153482">
    <w:abstractNumId w:val="5"/>
  </w:num>
  <w:num w:numId="2" w16cid:durableId="792213158">
    <w:abstractNumId w:val="4"/>
  </w:num>
  <w:num w:numId="3" w16cid:durableId="517697560">
    <w:abstractNumId w:val="3"/>
  </w:num>
  <w:num w:numId="4" w16cid:durableId="395781506">
    <w:abstractNumId w:val="1"/>
  </w:num>
  <w:num w:numId="5" w16cid:durableId="838426841">
    <w:abstractNumId w:val="0"/>
  </w:num>
  <w:num w:numId="6" w16cid:durableId="4450002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BF0"/>
    <w:rsid w:val="003B2438"/>
    <w:rsid w:val="005D4CD7"/>
    <w:rsid w:val="009B3BF0"/>
    <w:rsid w:val="00A52C2F"/>
    <w:rsid w:val="00B43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8453A"/>
  <w15:chartTrackingRefBased/>
  <w15:docId w15:val="{93E3585D-8CF8-4817-A654-4DE4BCE21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B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3B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3B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3B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3B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3B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3B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3B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3B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B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3B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3B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3B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3B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3B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3B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3B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3BF0"/>
    <w:rPr>
      <w:rFonts w:eastAsiaTheme="majorEastAsia" w:cstheme="majorBidi"/>
      <w:color w:val="272727" w:themeColor="text1" w:themeTint="D8"/>
    </w:rPr>
  </w:style>
  <w:style w:type="paragraph" w:styleId="Title">
    <w:name w:val="Title"/>
    <w:basedOn w:val="Normal"/>
    <w:next w:val="Normal"/>
    <w:link w:val="TitleChar"/>
    <w:uiPriority w:val="10"/>
    <w:qFormat/>
    <w:rsid w:val="009B3B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3B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3B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3B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3BF0"/>
    <w:pPr>
      <w:spacing w:before="160"/>
      <w:jc w:val="center"/>
    </w:pPr>
    <w:rPr>
      <w:i/>
      <w:iCs/>
      <w:color w:val="404040" w:themeColor="text1" w:themeTint="BF"/>
    </w:rPr>
  </w:style>
  <w:style w:type="character" w:customStyle="1" w:styleId="QuoteChar">
    <w:name w:val="Quote Char"/>
    <w:basedOn w:val="DefaultParagraphFont"/>
    <w:link w:val="Quote"/>
    <w:uiPriority w:val="29"/>
    <w:rsid w:val="009B3BF0"/>
    <w:rPr>
      <w:i/>
      <w:iCs/>
      <w:color w:val="404040" w:themeColor="text1" w:themeTint="BF"/>
    </w:rPr>
  </w:style>
  <w:style w:type="paragraph" w:styleId="ListParagraph">
    <w:name w:val="List Paragraph"/>
    <w:basedOn w:val="Normal"/>
    <w:uiPriority w:val="34"/>
    <w:qFormat/>
    <w:rsid w:val="009B3BF0"/>
    <w:pPr>
      <w:ind w:left="720"/>
      <w:contextualSpacing/>
    </w:pPr>
  </w:style>
  <w:style w:type="character" w:styleId="IntenseEmphasis">
    <w:name w:val="Intense Emphasis"/>
    <w:basedOn w:val="DefaultParagraphFont"/>
    <w:uiPriority w:val="21"/>
    <w:qFormat/>
    <w:rsid w:val="009B3BF0"/>
    <w:rPr>
      <w:i/>
      <w:iCs/>
      <w:color w:val="0F4761" w:themeColor="accent1" w:themeShade="BF"/>
    </w:rPr>
  </w:style>
  <w:style w:type="paragraph" w:styleId="IntenseQuote">
    <w:name w:val="Intense Quote"/>
    <w:basedOn w:val="Normal"/>
    <w:next w:val="Normal"/>
    <w:link w:val="IntenseQuoteChar"/>
    <w:uiPriority w:val="30"/>
    <w:qFormat/>
    <w:rsid w:val="009B3B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3BF0"/>
    <w:rPr>
      <w:i/>
      <w:iCs/>
      <w:color w:val="0F4761" w:themeColor="accent1" w:themeShade="BF"/>
    </w:rPr>
  </w:style>
  <w:style w:type="character" w:styleId="IntenseReference">
    <w:name w:val="Intense Reference"/>
    <w:basedOn w:val="DefaultParagraphFont"/>
    <w:uiPriority w:val="32"/>
    <w:qFormat/>
    <w:rsid w:val="009B3BF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1750</Words>
  <Characters>9977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Gabino Casanova</dc:creator>
  <cp:keywords/>
  <dc:description/>
  <cp:lastModifiedBy>Gabino Casanova</cp:lastModifiedBy>
  <cp:revision>1</cp:revision>
  <dcterms:created xsi:type="dcterms:W3CDTF">2026-05-14T17:36:00Z</dcterms:created>
  <dcterms:modified xsi:type="dcterms:W3CDTF">2026-05-14T17:48:00Z</dcterms:modified>
</cp:coreProperties>
</file>