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A4C81" w14:textId="77777777" w:rsidR="0031585A" w:rsidRDefault="00000000">
      <w:pPr>
        <w:spacing w:after="120"/>
        <w:jc w:val="center"/>
      </w:pPr>
      <w:r>
        <w:rPr>
          <w:b/>
          <w:sz w:val="32"/>
        </w:rPr>
        <w:t>A Phase-Synchronized Distributed Pulse Propulsion Architecture for High-Energy Spaceflight</w:t>
      </w:r>
    </w:p>
    <w:p w14:paraId="6B2593B4" w14:textId="77777777" w:rsidR="0031585A" w:rsidRDefault="00000000">
      <w:pPr>
        <w:spacing w:after="120"/>
        <w:jc w:val="center"/>
      </w:pPr>
      <w:r>
        <w:rPr>
          <w:b/>
          <w:sz w:val="24"/>
        </w:rPr>
        <w:t>A CST-Guided Theoretical Framework for Rotational Pulse Control, Rearward Radiation Exhaust, Dual-Engine Propulsion, Energy Routing, and Impact Protection</w:t>
      </w:r>
    </w:p>
    <w:p w14:paraId="1BA04BFD" w14:textId="77777777" w:rsidR="0031585A" w:rsidRDefault="00000000">
      <w:pPr>
        <w:spacing w:before="240" w:after="80"/>
      </w:pPr>
      <w:r>
        <w:rPr>
          <w:b/>
          <w:sz w:val="26"/>
        </w:rPr>
        <w:t>Abstract</w:t>
      </w:r>
    </w:p>
    <w:p w14:paraId="6F8FFC74" w14:textId="77777777" w:rsidR="0031585A" w:rsidRDefault="00000000">
      <w:pPr>
        <w:spacing w:after="100" w:line="259" w:lineRule="auto"/>
      </w:pPr>
      <w:r>
        <w:t>This paper presents a theoretical high-energy spacecraft propulsion architecture based on distributed pulse generation, Cosmic Standard Time guided phase control, lower aft reaction placement, rearward radiation exhaust, dual-engine power distribution, and physical impact protection. The system does not rely on bulk antimatter storage. Instead, it proposes short-duration pulse-through operation in which high-energy reaction packets are generated, released, converted where possible, and exhausted through a lower rearward path. Usable energy is routed to dual upper propulsion engines, while non-converted radiation is not stored in the engine or spacecraft structure. The paper integrates mass-energy equivalence, inverse mass-energy accounting, Euler phase sequencing, throttle-based pulse modulation, radiation attenuation, thrust momentum relations, and Whipple-style debris protection. Antimatter operation is retained only as a theoretical upper-bound extension. The realistic near-term embodiment is pulsed plasma or fusion-assisted propulsion with advanced shielding and phase-synchronized control.</w:t>
      </w:r>
    </w:p>
    <w:p w14:paraId="01D4DC4A" w14:textId="77777777" w:rsidR="0031585A" w:rsidRDefault="00000000">
      <w:pPr>
        <w:spacing w:before="240" w:after="80"/>
      </w:pPr>
      <w:r>
        <w:rPr>
          <w:b/>
          <w:sz w:val="26"/>
        </w:rPr>
        <w:t>Academic Positioning</w:t>
      </w:r>
    </w:p>
    <w:p w14:paraId="5E13B6F5" w14:textId="77777777" w:rsidR="0031585A" w:rsidRDefault="00000000">
      <w:pPr>
        <w:spacing w:after="100" w:line="259" w:lineRule="auto"/>
      </w:pPr>
      <w:r>
        <w:t>This paper defines a theoretical upper-bound architecture using known physical laws. Current technology cannot implement antimatter propulsion at spacecraft scale, but the system provides a structured, phase-controlled framework for future high-energy propulsion research. The strongest realistic form of the architecture is a pulsed plasma or fusion-assisted propulsion system. The antimatter pulse model is included only as a future theoretical extension for energy accounting, pulse sequencing, radiation-flow geometry, and propulsion-control research.</w:t>
      </w:r>
    </w:p>
    <w:p w14:paraId="355EB810" w14:textId="77777777" w:rsidR="0031585A" w:rsidRDefault="00000000">
      <w:pPr>
        <w:spacing w:before="240" w:after="80"/>
      </w:pPr>
      <w:r>
        <w:rPr>
          <w:b/>
          <w:sz w:val="26"/>
        </w:rPr>
        <w:t>Purpose of the Theory</w:t>
      </w:r>
    </w:p>
    <w:p w14:paraId="0DC80D3D" w14:textId="77777777" w:rsidR="0031585A" w:rsidRDefault="00000000">
      <w:pPr>
        <w:spacing w:after="100" w:line="259" w:lineRule="auto"/>
      </w:pPr>
      <w:r>
        <w:t>The purpose of this framework is to describe a safer and more controllable high-energy propulsion architecture. Instead of storing all mission energy in one central vessel, the system divides energy release into controlled rotating pulses. Each pulse is governed by chamber phase, throttle setting, navigation state, and energy conversion limits. The design objective is not to claim that a complete warp-drive engine can currently be built, but to define a structured architecture for distributing high-energy release while protecting the crew and propulsion systems.</w:t>
      </w:r>
    </w:p>
    <w:p w14:paraId="4EB0A551" w14:textId="77777777" w:rsidR="0031585A" w:rsidRDefault="00000000">
      <w:pPr>
        <w:spacing w:before="240" w:after="80"/>
      </w:pPr>
      <w:r>
        <w:rPr>
          <w:b/>
          <w:sz w:val="26"/>
        </w:rPr>
        <w:t>Core System Concept</w:t>
      </w:r>
    </w:p>
    <w:p w14:paraId="69C2EB31" w14:textId="77777777" w:rsidR="0031585A" w:rsidRDefault="00000000">
      <w:pPr>
        <w:spacing w:after="100" w:line="259" w:lineRule="auto"/>
      </w:pPr>
      <w:r>
        <w:t>The proposed craft separates the crew module, lower reaction zone, shielding system, energy conversion system, and propulsion engines. High-energy reaction activity occurs below and aft of the crew. Radiation and exhaust products are released through a lower rearward exhaust path instead of being stored inside the engine. Usable converted energy is routed to two upper propulsion engines for impulse control, thrust balance, and theoretical high-energy field modulation.</w:t>
      </w:r>
    </w:p>
    <w:p w14:paraId="75C59DAD" w14:textId="77777777" w:rsidR="0031585A" w:rsidRDefault="00000000">
      <w:pPr>
        <w:spacing w:before="240" w:after="80"/>
      </w:pPr>
      <w:r>
        <w:rPr>
          <w:b/>
          <w:sz w:val="26"/>
        </w:rPr>
        <w:t>Mass and Mission Energy Baseline</w:t>
      </w:r>
    </w:p>
    <w:p w14:paraId="393EDEBF" w14:textId="77777777" w:rsidR="0031585A" w:rsidRDefault="00000000">
      <w:pPr>
        <w:spacing w:after="100" w:line="259" w:lineRule="auto"/>
      </w:pPr>
      <w:r>
        <w:t xml:space="preserve">The mission energy model begins with total spacecraft mass. This includes crew, structure, cargo, shielding, fuel, engine systems, energy-conversion equipment, and safety mass. The energy requirement is then related to </w:t>
      </w:r>
      <w:r>
        <w:lastRenderedPageBreak/>
        <w:t>velocity objective and mission navigation corridor. The mass-energy relation provides a theoretical lower-bound energy benchmark.</w:t>
      </w:r>
    </w:p>
    <w:p w14:paraId="3BF42A9E" w14:textId="77777777" w:rsidR="0031585A" w:rsidRDefault="00000000">
      <w:pPr>
        <w:spacing w:before="60" w:after="120"/>
        <w:jc w:val="center"/>
      </w:pPr>
      <w:r>
        <w:t>E = mc²</w:t>
      </w:r>
    </w:p>
    <w:p w14:paraId="2113B216" w14:textId="77777777" w:rsidR="0031585A" w:rsidRDefault="00000000">
      <w:pPr>
        <w:spacing w:before="60" w:after="120"/>
        <w:jc w:val="center"/>
      </w:pPr>
      <w:r>
        <w:t>m = E / c²</w:t>
      </w:r>
    </w:p>
    <w:p w14:paraId="0BA3C2CC" w14:textId="77777777" w:rsidR="0031585A" w:rsidRDefault="00000000">
      <w:pPr>
        <w:spacing w:after="100" w:line="259" w:lineRule="auto"/>
      </w:pPr>
      <w:r>
        <w:t>The inverse form gives the mass-equivalent amount of energy required for a theoretical target. It does not mean ordinary fuel converts perfectly into propulsion. Real propulsion requires additional energy because of heat loss, radiation escape, conversion inefficiency, shielding mass, structural limits, and imperfect coupling between reaction energy and thrust.</w:t>
      </w:r>
    </w:p>
    <w:p w14:paraId="2474C68E" w14:textId="77777777" w:rsidR="0031585A" w:rsidRDefault="00000000">
      <w:pPr>
        <w:spacing w:before="60" w:after="120"/>
        <w:jc w:val="center"/>
      </w:pPr>
      <w:r>
        <w:t>M_total = M_crew + M_structure + M_cargo + M_fuel + M_shielding + M_engine</w:t>
      </w:r>
    </w:p>
    <w:p w14:paraId="2EF20323" w14:textId="77777777" w:rsidR="0031585A" w:rsidRDefault="00000000">
      <w:pPr>
        <w:spacing w:before="60" w:after="120"/>
        <w:jc w:val="center"/>
      </w:pPr>
      <w:r>
        <w:t>E_min = M_total c²</w:t>
      </w:r>
    </w:p>
    <w:p w14:paraId="156F2F7B" w14:textId="77777777" w:rsidR="0031585A" w:rsidRDefault="00000000">
      <w:pPr>
        <w:spacing w:after="100" w:line="259" w:lineRule="auto"/>
      </w:pPr>
      <w:r>
        <w:t>For conventional acceleration or plasma propulsion, the useful kinetic-energy estimate is also considered.</w:t>
      </w:r>
    </w:p>
    <w:p w14:paraId="657D4C63" w14:textId="77777777" w:rsidR="0031585A" w:rsidRDefault="00000000">
      <w:pPr>
        <w:spacing w:before="60" w:after="120"/>
        <w:jc w:val="center"/>
      </w:pPr>
      <w:r>
        <w:t>E_k = 1/2 M_total v²</w:t>
      </w:r>
    </w:p>
    <w:p w14:paraId="12E84F7A" w14:textId="77777777" w:rsidR="0031585A" w:rsidRDefault="00000000">
      <w:pPr>
        <w:spacing w:after="100" w:line="259" w:lineRule="auto"/>
      </w:pPr>
      <w:r>
        <w:t>For very high target velocities, relativistic energy must be considered.</w:t>
      </w:r>
    </w:p>
    <w:p w14:paraId="753DC92B" w14:textId="77777777" w:rsidR="0031585A" w:rsidRDefault="00000000">
      <w:pPr>
        <w:spacing w:before="60" w:after="120"/>
        <w:jc w:val="center"/>
      </w:pPr>
      <w:r>
        <w:t>E_rel = (γ - 1) M_total c²</w:t>
      </w:r>
    </w:p>
    <w:p w14:paraId="5E5B6C42" w14:textId="77777777" w:rsidR="0031585A" w:rsidRDefault="00000000">
      <w:pPr>
        <w:spacing w:before="60" w:after="120"/>
        <w:jc w:val="center"/>
      </w:pPr>
      <w:r>
        <w:t>γ = 1 / sqrt(1 - v²/c²)</w:t>
      </w:r>
    </w:p>
    <w:p w14:paraId="745500B5" w14:textId="77777777" w:rsidR="0031585A" w:rsidRDefault="00000000">
      <w:pPr>
        <w:spacing w:before="240" w:after="80"/>
      </w:pPr>
      <w:r>
        <w:rPr>
          <w:b/>
          <w:sz w:val="26"/>
        </w:rPr>
        <w:t>Energy Flow Instead of Bulk Storage</w:t>
      </w:r>
    </w:p>
    <w:p w14:paraId="7C090CB2" w14:textId="77777777" w:rsidR="0031585A" w:rsidRDefault="00000000">
      <w:pPr>
        <w:spacing w:after="100" w:line="259" w:lineRule="auto"/>
      </w:pPr>
      <w:r>
        <w:t>The architecture is based on energy flow rather than bulk storage. The engine does not hold the full mission energy in one storage tank, chamber, or reactor volume. The system generates and releases controlled energy packets through a lower aft pulse-through geometry. The immediate exhaust pathway is part of the safety design.</w:t>
      </w:r>
    </w:p>
    <w:p w14:paraId="02390D11" w14:textId="77777777" w:rsidR="0031585A" w:rsidRDefault="00000000">
      <w:pPr>
        <w:spacing w:before="60" w:after="120"/>
        <w:jc w:val="center"/>
      </w:pPr>
      <w:r>
        <w:t>E_total = ∫ P(t) dt</w:t>
      </w:r>
    </w:p>
    <w:p w14:paraId="61B6F727" w14:textId="77777777" w:rsidR="0031585A" w:rsidRDefault="00000000">
      <w:pPr>
        <w:spacing w:before="60" w:after="120"/>
        <w:jc w:val="center"/>
      </w:pPr>
      <w:r>
        <w:t>dE_stored / dt ≈ 0</w:t>
      </w:r>
    </w:p>
    <w:p w14:paraId="433472EE" w14:textId="77777777" w:rsidR="0031585A" w:rsidRDefault="00000000">
      <w:pPr>
        <w:spacing w:before="60" w:after="120"/>
        <w:jc w:val="center"/>
      </w:pPr>
      <w:r>
        <w:t>E_generated = E_exhaust + E_converted + E_loss</w:t>
      </w:r>
    </w:p>
    <w:p w14:paraId="4E29E42F" w14:textId="77777777" w:rsidR="0031585A" w:rsidRDefault="00000000">
      <w:pPr>
        <w:spacing w:after="100" w:line="259" w:lineRule="auto"/>
      </w:pPr>
      <w:r>
        <w:t>The condition dE_stored / dt approximately equal to zero represents the design intent that high-energy products do not accumulate inside the engine. The reaction products are either exhausted rearward, converted into usable power, or lost through unavoidable thermal and radiation processes. This is the core difference between a pulse-through propulsion architecture and a bulk-storage architecture.</w:t>
      </w:r>
    </w:p>
    <w:p w14:paraId="3823C31B" w14:textId="77777777" w:rsidR="0031585A" w:rsidRDefault="00000000">
      <w:pPr>
        <w:spacing w:before="240" w:after="80"/>
      </w:pPr>
      <w:r>
        <w:rPr>
          <w:b/>
          <w:sz w:val="26"/>
        </w:rPr>
        <w:t>Distributed Circular Pulse Architecture</w:t>
      </w:r>
    </w:p>
    <w:p w14:paraId="4F00A917" w14:textId="77777777" w:rsidR="0031585A" w:rsidRDefault="00000000">
      <w:pPr>
        <w:spacing w:after="100" w:line="259" w:lineRule="auto"/>
      </w:pPr>
      <w:r>
        <w:t>The engine uses a circular arrangement of pulse cells or reaction channels. A cell does not carry the full mission energy. Instead, it receives a short-duration pulse, releases the pulse into the reaction zone, and then the next cell activates. The system alternates around the ring so that the total output is produced by chamber count, pulse energy, and throttle-driven pulse density.</w:t>
      </w:r>
    </w:p>
    <w:p w14:paraId="6763BFBA" w14:textId="77777777" w:rsidR="0031585A" w:rsidRDefault="00000000">
      <w:pPr>
        <w:spacing w:before="60" w:after="120"/>
        <w:jc w:val="center"/>
      </w:pPr>
      <w:r>
        <w:t>P = Σ E_p(n) f(n)</w:t>
      </w:r>
    </w:p>
    <w:p w14:paraId="78BF43BE" w14:textId="77777777" w:rsidR="0031585A" w:rsidRDefault="00000000">
      <w:pPr>
        <w:spacing w:before="60" w:after="120"/>
        <w:jc w:val="center"/>
      </w:pPr>
      <w:r>
        <w:t>E_total = ∫ Σ E_p(n) f(n) dt</w:t>
      </w:r>
    </w:p>
    <w:p w14:paraId="5C96D5EB" w14:textId="77777777" w:rsidR="0031585A" w:rsidRDefault="00000000">
      <w:pPr>
        <w:spacing w:before="60" w:after="120"/>
        <w:jc w:val="center"/>
      </w:pPr>
      <w:r>
        <w:t>P ≈ N E_p f</w:t>
      </w:r>
    </w:p>
    <w:p w14:paraId="219988FE" w14:textId="77777777" w:rsidR="0031585A" w:rsidRDefault="00000000">
      <w:pPr>
        <w:spacing w:after="100" w:line="259" w:lineRule="auto"/>
      </w:pPr>
      <w:r>
        <w:t>In this simplified expression, N is the number of pulse cells, E_p is the pulse energy, and f is the firing frequency. This model allows the system to scale power by increasing pulse amplitude, increasing pulse density, increasing the number of active cells, or combining all three.</w:t>
      </w:r>
    </w:p>
    <w:p w14:paraId="1A292BFA" w14:textId="77777777" w:rsidR="0031585A" w:rsidRDefault="00000000">
      <w:pPr>
        <w:spacing w:before="240" w:after="80"/>
      </w:pPr>
      <w:r>
        <w:rPr>
          <w:b/>
          <w:sz w:val="26"/>
        </w:rPr>
        <w:lastRenderedPageBreak/>
        <w:t>Euler Phase Control</w:t>
      </w:r>
    </w:p>
    <w:p w14:paraId="3888D609" w14:textId="77777777" w:rsidR="0031585A" w:rsidRDefault="00000000">
      <w:pPr>
        <w:spacing w:after="100" w:line="259" w:lineRule="auto"/>
      </w:pPr>
      <w:r>
        <w:t>Euler phase control organizes the rotating pulse sequence. The purpose of Euler’s formula in this system is not to create energy. It provides a mathematical way to describe rotational firing order, phase coherence, pulse symmetry, and smooth energy delivery.</w:t>
      </w:r>
    </w:p>
    <w:p w14:paraId="7487E44B" w14:textId="77777777" w:rsidR="0031585A" w:rsidRDefault="00000000">
      <w:pPr>
        <w:spacing w:before="60" w:after="120"/>
        <w:jc w:val="center"/>
      </w:pPr>
      <w:r>
        <w:t>e^(iθ) = cos(θ) + i sin(θ)</w:t>
      </w:r>
    </w:p>
    <w:p w14:paraId="1C4E06F6" w14:textId="77777777" w:rsidR="0031585A" w:rsidRDefault="00000000">
      <w:pPr>
        <w:spacing w:before="60" w:after="120"/>
        <w:jc w:val="center"/>
      </w:pPr>
      <w:r>
        <w:t>θ_n = 2πn / N</w:t>
      </w:r>
    </w:p>
    <w:p w14:paraId="786DCCA0" w14:textId="77777777" w:rsidR="0031585A" w:rsidRDefault="00000000">
      <w:pPr>
        <w:spacing w:before="60" w:after="120"/>
        <w:jc w:val="center"/>
      </w:pPr>
      <w:r>
        <w:t>Ψ_n(t) = A_n e^(i(ωt + θ_n))</w:t>
      </w:r>
    </w:p>
    <w:p w14:paraId="27501E59" w14:textId="77777777" w:rsidR="0031585A" w:rsidRDefault="00000000">
      <w:pPr>
        <w:spacing w:after="100" w:line="259" w:lineRule="auto"/>
      </w:pPr>
      <w:r>
        <w:t>Each pulse cell has a phase angle θ_n. The rotating activation pattern produces a coherent pulse envelope around the chamber ring. This reduces mechanical shock because power is not applied as one uncontrolled burst. Instead, power rises and falls through a controlled phase pattern.</w:t>
      </w:r>
    </w:p>
    <w:p w14:paraId="47A8F880" w14:textId="77777777" w:rsidR="0031585A" w:rsidRDefault="00000000">
      <w:pPr>
        <w:spacing w:before="60" w:after="120"/>
        <w:jc w:val="center"/>
      </w:pPr>
      <w:r>
        <w:t>Δθ = θ_command - θ_measured</w:t>
      </w:r>
    </w:p>
    <w:p w14:paraId="38521ADF" w14:textId="77777777" w:rsidR="0031585A" w:rsidRDefault="00000000">
      <w:pPr>
        <w:spacing w:before="60" w:after="120"/>
        <w:jc w:val="center"/>
      </w:pPr>
      <w:r>
        <w:t>C_phase = Σ w_n |e^(iθ_command,n) - e^(iθ_measured,n)|²</w:t>
      </w:r>
    </w:p>
    <w:p w14:paraId="40DDA4B8" w14:textId="77777777" w:rsidR="0031585A" w:rsidRDefault="00000000">
      <w:pPr>
        <w:spacing w:after="100" w:line="259" w:lineRule="auto"/>
      </w:pPr>
      <w:r>
        <w:t>The phase-error expression defines a control objective. The engine attempts to keep the commanded phase and measured phase aligned. This connects the CST concept to real control logic: CST provides the synchronization reference, while phase error determines pulse correction.</w:t>
      </w:r>
    </w:p>
    <w:p w14:paraId="1204FA2B" w14:textId="77777777" w:rsidR="0031585A" w:rsidRDefault="00000000">
      <w:pPr>
        <w:spacing w:before="240" w:after="80"/>
      </w:pPr>
      <w:r>
        <w:rPr>
          <w:b/>
          <w:sz w:val="26"/>
        </w:rPr>
        <w:t>Throttle-Based Warp and Impulse Control</w:t>
      </w:r>
    </w:p>
    <w:p w14:paraId="63FDF67F" w14:textId="77777777" w:rsidR="0031585A" w:rsidRDefault="00000000">
      <w:pPr>
        <w:spacing w:after="100" w:line="259" w:lineRule="auto"/>
      </w:pPr>
      <w:r>
        <w:t>The system uses a throttle to increase or decrease pulse output. The throttle controls pulse energy, pulse density, and the number of active pulse cells. In this theoretical framework, a warp setting is treated as a commanded propulsion state rather than proof of faster-than-light travel. A low setting provides impulse or cruise stabilization. A high setting increases phase density, field intensity, and energy conversion demand.</w:t>
      </w:r>
    </w:p>
    <w:p w14:paraId="20E64CCA" w14:textId="77777777" w:rsidR="0031585A" w:rsidRDefault="00000000">
      <w:pPr>
        <w:spacing w:before="60" w:after="120"/>
        <w:jc w:val="center"/>
      </w:pPr>
      <w:r>
        <w:t>P_eff = α N E_p f</w:t>
      </w:r>
    </w:p>
    <w:p w14:paraId="3E1CB561" w14:textId="77777777" w:rsidR="0031585A" w:rsidRDefault="00000000">
      <w:pPr>
        <w:spacing w:before="60" w:after="120"/>
        <w:jc w:val="center"/>
      </w:pPr>
      <w:r>
        <w:t>0 ≤ α ≤ 1</w:t>
      </w:r>
    </w:p>
    <w:p w14:paraId="6E671577" w14:textId="77777777" w:rsidR="0031585A" w:rsidRDefault="00000000">
      <w:pPr>
        <w:spacing w:before="60" w:after="120"/>
        <w:jc w:val="center"/>
      </w:pPr>
      <w:r>
        <w:t>T_command = k_T P_eff</w:t>
      </w:r>
    </w:p>
    <w:p w14:paraId="03AF5E29" w14:textId="77777777" w:rsidR="0031585A" w:rsidRDefault="00000000">
      <w:pPr>
        <w:spacing w:after="100" w:line="259" w:lineRule="auto"/>
      </w:pPr>
      <w:r>
        <w:t>The throttle factor α scales total effective output. At low α, the system maintains stability and cruise pulse operation. At high α, the system increases pulse energy and sequence density. Before arrival or course correction, throttle is reduced to lower the engine state and begin controlled deceleration.</w:t>
      </w:r>
    </w:p>
    <w:p w14:paraId="79BBFBF8" w14:textId="77777777" w:rsidR="0031585A" w:rsidRDefault="00000000">
      <w:pPr>
        <w:spacing w:before="240" w:after="80"/>
      </w:pPr>
      <w:r>
        <w:rPr>
          <w:b/>
          <w:sz w:val="26"/>
        </w:rPr>
        <w:t>Step-by-Step Operation</w:t>
      </w:r>
    </w:p>
    <w:p w14:paraId="3BBE5853" w14:textId="77777777" w:rsidR="0031585A" w:rsidRDefault="00000000">
      <w:pPr>
        <w:spacing w:before="60" w:after="100" w:line="259" w:lineRule="auto"/>
      </w:pPr>
      <w:r>
        <w:rPr>
          <w:b/>
        </w:rPr>
        <w:t>Mass and mission entry.</w:t>
      </w:r>
      <w:r>
        <w:t xml:space="preserve"> The system begins by entering total spacecraft mass, including crew, cargo, fuel, engine structure, shielding, and safety systems. This establishes the baseline energy requirement.</w:t>
      </w:r>
    </w:p>
    <w:p w14:paraId="104F2C1E" w14:textId="77777777" w:rsidR="0031585A" w:rsidRDefault="00000000">
      <w:pPr>
        <w:spacing w:before="60" w:after="100" w:line="259" w:lineRule="auto"/>
      </w:pPr>
      <w:r>
        <w:rPr>
          <w:b/>
        </w:rPr>
        <w:t>Navigation corridor selection.</w:t>
      </w:r>
      <w:r>
        <w:t xml:space="preserve"> The route, target velocity profile, safe acceleration corridor, and arrival correction path are calculated. CST, atomic time, and navigation references support synchronization, while the throttle determines the active power state.</w:t>
      </w:r>
    </w:p>
    <w:p w14:paraId="485C24B5" w14:textId="77777777" w:rsidR="0031585A" w:rsidRDefault="00000000">
      <w:pPr>
        <w:spacing w:before="60" w:after="100" w:line="259" w:lineRule="auto"/>
      </w:pPr>
      <w:r>
        <w:rPr>
          <w:b/>
        </w:rPr>
        <w:t>Idle pulse mode.</w:t>
      </w:r>
      <w:r>
        <w:t xml:space="preserve"> The engine begins with low-power stabilization pulses. These pulses keep the plasma pathway, magnetic systems, energy conversion layer, and dual engines synchronized without applying full propulsion output.</w:t>
      </w:r>
    </w:p>
    <w:p w14:paraId="11F91B3C" w14:textId="77777777" w:rsidR="0031585A" w:rsidRDefault="00000000">
      <w:pPr>
        <w:spacing w:before="60" w:after="100" w:line="259" w:lineRule="auto"/>
      </w:pPr>
      <w:r>
        <w:rPr>
          <w:b/>
        </w:rPr>
        <w:t>Rotational pulse activation.</w:t>
      </w:r>
      <w:r>
        <w:t xml:space="preserve"> The circular chamber sequence activates in phase order. Each pulse cell releases a short-duration packet and then yields to the next cell in the rotation. The architecture avoids repeatedly stressing one compartment.</w:t>
      </w:r>
    </w:p>
    <w:p w14:paraId="1C967A5B" w14:textId="77777777" w:rsidR="0031585A" w:rsidRDefault="00000000">
      <w:pPr>
        <w:spacing w:before="60" w:after="100" w:line="259" w:lineRule="auto"/>
      </w:pPr>
      <w:r>
        <w:rPr>
          <w:b/>
        </w:rPr>
        <w:lastRenderedPageBreak/>
        <w:t>Throttle ramp-up.</w:t>
      </w:r>
      <w:r>
        <w:t xml:space="preserve"> When the navigation corridor is clear, the throttle increases pulse amplitude, pulse density, or both. The system raises P_eff while maintaining phase balance across the ring.</w:t>
      </w:r>
    </w:p>
    <w:p w14:paraId="53E0B951" w14:textId="77777777" w:rsidR="0031585A" w:rsidRDefault="00000000">
      <w:pPr>
        <w:spacing w:before="60" w:after="100" w:line="259" w:lineRule="auto"/>
      </w:pPr>
      <w:r>
        <w:rPr>
          <w:b/>
        </w:rPr>
        <w:t>Lower aft reaction and exhaust.</w:t>
      </w:r>
      <w:r>
        <w:t xml:space="preserve"> High-energy reactions occur below and aft of the crew. Radiation and reaction products are not stored. They move through the shortest available lower rearward exhaust path, while usable energy is converted and routed upward.</w:t>
      </w:r>
    </w:p>
    <w:p w14:paraId="6F324478" w14:textId="77777777" w:rsidR="0031585A" w:rsidRDefault="00000000">
      <w:pPr>
        <w:spacing w:before="60" w:after="100" w:line="259" w:lineRule="auto"/>
      </w:pPr>
      <w:r>
        <w:rPr>
          <w:b/>
        </w:rPr>
        <w:t>Energy conversion.</w:t>
      </w:r>
      <w:r>
        <w:t xml:space="preserve"> Charged particles, plasma flow, thermal energy, or electromagnetic output are converted into usable propulsion power. Raw gamma radiation is not routed to the engines as a power conduit.</w:t>
      </w:r>
    </w:p>
    <w:p w14:paraId="7679ACF2" w14:textId="77777777" w:rsidR="0031585A" w:rsidRDefault="00000000">
      <w:pPr>
        <w:spacing w:before="60" w:after="100" w:line="259" w:lineRule="auto"/>
      </w:pPr>
      <w:r>
        <w:rPr>
          <w:b/>
        </w:rPr>
        <w:t>Dual-engine propulsion.</w:t>
      </w:r>
      <w:r>
        <w:t xml:space="preserve"> Converted energy is routed to two upper engines. The dual layout supports thrust balance, torque control, redundancy, and directional stability.</w:t>
      </w:r>
    </w:p>
    <w:p w14:paraId="34ECBBC6" w14:textId="77777777" w:rsidR="0031585A" w:rsidRDefault="00000000">
      <w:pPr>
        <w:spacing w:before="60" w:after="100" w:line="259" w:lineRule="auto"/>
      </w:pPr>
      <w:r>
        <w:rPr>
          <w:b/>
        </w:rPr>
        <w:t>Cruise pulse state.</w:t>
      </w:r>
      <w:r>
        <w:t xml:space="preserve"> The system maintains a controlled pulse rhythm. The throttle keeps energy delivery steady without storing the full mission energy inside the craft.</w:t>
      </w:r>
    </w:p>
    <w:p w14:paraId="78EC5825" w14:textId="77777777" w:rsidR="0031585A" w:rsidRDefault="00000000">
      <w:pPr>
        <w:spacing w:before="60" w:after="100" w:line="259" w:lineRule="auto"/>
      </w:pPr>
      <w:r>
        <w:rPr>
          <w:b/>
        </w:rPr>
        <w:t>Throttle reduction and arrival.</w:t>
      </w:r>
      <w:r>
        <w:t xml:space="preserve"> Before arrival or maneuvering, the throttle lowers pulse amplitude and pulse density. The system transitions into deceleration or correction mode.</w:t>
      </w:r>
    </w:p>
    <w:p w14:paraId="1DFE6CA5" w14:textId="77777777" w:rsidR="0031585A" w:rsidRDefault="00000000">
      <w:pPr>
        <w:spacing w:before="240" w:after="80"/>
      </w:pPr>
      <w:r>
        <w:rPr>
          <w:b/>
          <w:sz w:val="26"/>
        </w:rPr>
        <w:t>Lower Aft Reaction Zone</w:t>
      </w:r>
    </w:p>
    <w:p w14:paraId="449AAA51" w14:textId="77777777" w:rsidR="0031585A" w:rsidRDefault="00000000">
      <w:pPr>
        <w:spacing w:after="100" w:line="259" w:lineRule="auto"/>
      </w:pPr>
      <w:r>
        <w:t>The lower aft reaction zone is the high-energy section of the craft. It is placed beneath and behind the crew module to increase distance and place shielding between the crew and the reaction process. The lower reaction zone includes an open rearward exhaust path so that radiation and energetic products leave the spacecraft rather than accumulate inside it.</w:t>
      </w:r>
    </w:p>
    <w:p w14:paraId="7C84BDFD" w14:textId="77777777" w:rsidR="0031585A" w:rsidRDefault="00000000">
      <w:pPr>
        <w:spacing w:before="60" w:after="120"/>
        <w:jc w:val="center"/>
      </w:pPr>
      <w:r>
        <w:t>E_reaction(t) → E_rear_exhaust(t) + E_converted(t) + E_unavoidable_loss(t)</w:t>
      </w:r>
    </w:p>
    <w:p w14:paraId="0B798794" w14:textId="77777777" w:rsidR="0031585A" w:rsidRDefault="00000000">
      <w:pPr>
        <w:spacing w:before="60" w:after="120"/>
        <w:jc w:val="center"/>
      </w:pPr>
      <w:r>
        <w:t>E_storage ≈ minimum operating buffer</w:t>
      </w:r>
    </w:p>
    <w:p w14:paraId="5052E533" w14:textId="77777777" w:rsidR="0031585A" w:rsidRDefault="00000000">
      <w:pPr>
        <w:spacing w:after="100" w:line="259" w:lineRule="auto"/>
      </w:pPr>
      <w:r>
        <w:t>This does not claim that gamma radiation can be perfectly steered. It states that the geometry is designed so the reaction is located where the natural release path points away from crew systems. Any non-rearward radiation is reduced by shielding and distance.</w:t>
      </w:r>
    </w:p>
    <w:p w14:paraId="172FA45B" w14:textId="77777777" w:rsidR="0031585A" w:rsidRDefault="00000000">
      <w:pPr>
        <w:spacing w:before="240" w:after="80"/>
      </w:pPr>
      <w:r>
        <w:rPr>
          <w:b/>
          <w:sz w:val="26"/>
        </w:rPr>
        <w:t>Antimatter Pulse Extension</w:t>
      </w:r>
    </w:p>
    <w:p w14:paraId="19C0EDD5" w14:textId="77777777" w:rsidR="0031585A" w:rsidRDefault="00000000">
      <w:pPr>
        <w:spacing w:after="100" w:line="259" w:lineRule="auto"/>
      </w:pPr>
      <w:r>
        <w:t>The antimatter concept is not based on bulk storage. The theoretical model uses short-duration pulse packets that pass through a controlled lower reaction region. The aim is to reduce wall contact by using injection, immediate reaction, and rearward exhaust geometry. This remains a theoretical upper-bound model because current antimatter production, transport, and confinement are extremely limited and not available at propulsion scale.</w:t>
      </w:r>
    </w:p>
    <w:p w14:paraId="1970D5C1" w14:textId="77777777" w:rsidR="0031585A" w:rsidRDefault="00000000">
      <w:pPr>
        <w:spacing w:before="60" w:after="120"/>
        <w:jc w:val="center"/>
      </w:pPr>
      <w:r>
        <w:t>E_annihilation ≈ (m_matter + m_antimatter)c²</w:t>
      </w:r>
    </w:p>
    <w:p w14:paraId="18C50AA2" w14:textId="77777777" w:rsidR="0031585A" w:rsidRDefault="00000000">
      <w:pPr>
        <w:spacing w:before="60" w:after="120"/>
        <w:jc w:val="center"/>
      </w:pPr>
      <w:r>
        <w:t>m_pair = E_p / c²</w:t>
      </w:r>
    </w:p>
    <w:p w14:paraId="5A35A132" w14:textId="77777777" w:rsidR="0031585A" w:rsidRDefault="00000000">
      <w:pPr>
        <w:spacing w:after="100" w:line="259" w:lineRule="auto"/>
      </w:pPr>
      <w:r>
        <w:t>For a pulse energy E_p, the mass-equivalent packet is m_pair. In ideal matter-antimatter annihilation, both matter and antimatter contribute to the total released energy. In a practical system, usable thrust would be lower than the ideal energy because gamma rays, neutral particles, heat, and conversion losses reduce the portion that can become directed exhaust.</w:t>
      </w:r>
    </w:p>
    <w:p w14:paraId="5675EBC8" w14:textId="77777777" w:rsidR="0031585A" w:rsidRDefault="00000000">
      <w:pPr>
        <w:spacing w:before="60" w:after="120"/>
        <w:jc w:val="center"/>
      </w:pPr>
      <w:r>
        <w:t>η_conversion = E_usable / E_generated</w:t>
      </w:r>
    </w:p>
    <w:p w14:paraId="04E331B9" w14:textId="77777777" w:rsidR="0031585A" w:rsidRDefault="00000000">
      <w:pPr>
        <w:spacing w:before="60" w:after="120"/>
        <w:jc w:val="center"/>
      </w:pPr>
      <w:r>
        <w:t>E_usable = η_conversion E_generated</w:t>
      </w:r>
    </w:p>
    <w:p w14:paraId="1AF7466C" w14:textId="77777777" w:rsidR="0031585A" w:rsidRDefault="00000000">
      <w:pPr>
        <w:spacing w:before="240" w:after="80"/>
      </w:pPr>
      <w:r>
        <w:rPr>
          <w:b/>
          <w:sz w:val="26"/>
        </w:rPr>
        <w:t>Radiation Creation and Rearward Exhaust</w:t>
      </w:r>
    </w:p>
    <w:p w14:paraId="1B556A43" w14:textId="77777777" w:rsidR="0031585A" w:rsidRDefault="00000000">
      <w:pPr>
        <w:spacing w:after="100" w:line="259" w:lineRule="auto"/>
      </w:pPr>
      <w:r>
        <w:lastRenderedPageBreak/>
        <w:t>Gamma radiation is generated at the instant of the high-energy reaction. It is not created later after passing through the engine. Because gamma radiation travels in straight-line paths and is not magnetically guided, the system does not claim perfect radiation steering. Instead, the reaction point is located in the lower aft region, and the open rearward geometry gives radiation and energetic products the shortest exit path away from the crew.</w:t>
      </w:r>
    </w:p>
    <w:p w14:paraId="36DA5BB1" w14:textId="77777777" w:rsidR="0031585A" w:rsidRDefault="00000000">
      <w:pPr>
        <w:spacing w:before="60" w:after="120"/>
        <w:jc w:val="center"/>
      </w:pPr>
      <w:r>
        <w:t>I(r) ∝ 1 / r²</w:t>
      </w:r>
    </w:p>
    <w:p w14:paraId="71FC567C" w14:textId="77777777" w:rsidR="0031585A" w:rsidRDefault="00000000">
      <w:pPr>
        <w:spacing w:before="60" w:after="120"/>
        <w:jc w:val="center"/>
      </w:pPr>
      <w:r>
        <w:t>Φ_crew = Φ_0 e^(-μx) / r²</w:t>
      </w:r>
    </w:p>
    <w:p w14:paraId="788ED44C" w14:textId="77777777" w:rsidR="0031585A" w:rsidRDefault="00000000">
      <w:pPr>
        <w:spacing w:after="100" w:line="259" w:lineRule="auto"/>
      </w:pPr>
      <w:r>
        <w:t>The inverse-square relation shows that distance reduces exposure. The exponential attenuation relation shows that shielding reduces the remaining non-rearward radiation. Together, distance, shielding, and lower rearward exhaust geometry form the radiation management strategy.</w:t>
      </w:r>
    </w:p>
    <w:p w14:paraId="1A734E30" w14:textId="77777777" w:rsidR="0031585A" w:rsidRDefault="00000000">
      <w:pPr>
        <w:spacing w:before="240" w:after="80"/>
      </w:pPr>
      <w:r>
        <w:rPr>
          <w:b/>
          <w:sz w:val="26"/>
        </w:rPr>
        <w:t>Layered Radiation Shielding</w:t>
      </w:r>
    </w:p>
    <w:p w14:paraId="548B548A" w14:textId="77777777" w:rsidR="0031585A" w:rsidRDefault="00000000">
      <w:pPr>
        <w:spacing w:after="100" w:line="259" w:lineRule="auto"/>
      </w:pPr>
      <w:r>
        <w:t>The shielding system is placed between the crew module and lower reaction zone, and also around sensitive routing and engine-control regions. The shield is layered because different radiation types require different materials.</w:t>
      </w:r>
    </w:p>
    <w:p w14:paraId="00370874" w14:textId="77777777" w:rsidR="0031585A" w:rsidRDefault="00000000">
      <w:pPr>
        <w:spacing w:before="60" w:after="100" w:line="259" w:lineRule="auto"/>
      </w:pPr>
      <w:r>
        <w:rPr>
          <w:b/>
        </w:rPr>
        <w:t>Tungsten gamma layer.</w:t>
      </w:r>
      <w:r>
        <w:t xml:space="preserve"> Tungsten is used near the high-energy region because it is dense and heat resistant. It attenuates gamma radiation more effectively than lighter structural materials.</w:t>
      </w:r>
    </w:p>
    <w:p w14:paraId="5A4C0735" w14:textId="77777777" w:rsidR="0031585A" w:rsidRDefault="00000000">
      <w:pPr>
        <w:spacing w:before="60" w:after="100" w:line="259" w:lineRule="auto"/>
      </w:pPr>
      <w:r>
        <w:rPr>
          <w:b/>
        </w:rPr>
        <w:t>Boron carbide layer.</w:t>
      </w:r>
      <w:r>
        <w:t xml:space="preserve"> Boron carbide is used to help reduce neutron-related radiation and secondary particle effects.</w:t>
      </w:r>
    </w:p>
    <w:p w14:paraId="31BD5785" w14:textId="77777777" w:rsidR="0031585A" w:rsidRDefault="00000000">
      <w:pPr>
        <w:spacing w:before="60" w:after="100" w:line="259" w:lineRule="auto"/>
      </w:pPr>
      <w:r>
        <w:rPr>
          <w:b/>
        </w:rPr>
        <w:t>Hydrogen-rich buffer.</w:t>
      </w:r>
      <w:r>
        <w:t xml:space="preserve"> Hydrogen-rich materials, water, or polymers help moderate secondary radiation and protect crew zones.</w:t>
      </w:r>
    </w:p>
    <w:p w14:paraId="47D35452" w14:textId="77777777" w:rsidR="0031585A" w:rsidRDefault="00000000">
      <w:pPr>
        <w:spacing w:before="60" w:after="100" w:line="259" w:lineRule="auto"/>
      </w:pPr>
      <w:r>
        <w:rPr>
          <w:b/>
        </w:rPr>
        <w:t>Ceramic thermal barrier.</w:t>
      </w:r>
      <w:r>
        <w:t xml:space="preserve"> Ceramic layers help isolate thermal spikes and protect structural members from heat transfer.</w:t>
      </w:r>
    </w:p>
    <w:p w14:paraId="1156A0D0" w14:textId="77777777" w:rsidR="0031585A" w:rsidRDefault="00000000">
      <w:pPr>
        <w:spacing w:before="60" w:after="120"/>
        <w:jc w:val="center"/>
      </w:pPr>
      <w:r>
        <w:t>Φ_out = Φ_in e^(-μx)</w:t>
      </w:r>
    </w:p>
    <w:p w14:paraId="436408EE" w14:textId="77777777" w:rsidR="0031585A" w:rsidRDefault="00000000">
      <w:pPr>
        <w:spacing w:before="60" w:after="120"/>
        <w:jc w:val="center"/>
      </w:pPr>
      <w:r>
        <w:t>Q_shield = m_shield c_p ΔT</w:t>
      </w:r>
    </w:p>
    <w:p w14:paraId="6FB7633B" w14:textId="77777777" w:rsidR="0031585A" w:rsidRDefault="00000000">
      <w:pPr>
        <w:spacing w:after="100" w:line="259" w:lineRule="auto"/>
      </w:pPr>
      <w:r>
        <w:t>The shield must handle both radiation attenuation and thermal absorption. The heat-capacity expression shows that shielding mass, heat capacity, and allowable temperature rise determine how much heat the protection layer can absorb before active cooling is required.</w:t>
      </w:r>
    </w:p>
    <w:p w14:paraId="6966C74A" w14:textId="77777777" w:rsidR="0031585A" w:rsidRDefault="00000000">
      <w:pPr>
        <w:spacing w:before="240" w:after="80"/>
      </w:pPr>
      <w:r>
        <w:rPr>
          <w:b/>
          <w:sz w:val="26"/>
        </w:rPr>
        <w:t>Energy Conversion and Routing to Dual Engines</w:t>
      </w:r>
    </w:p>
    <w:p w14:paraId="26F861A3" w14:textId="77777777" w:rsidR="0031585A" w:rsidRDefault="00000000">
      <w:pPr>
        <w:spacing w:after="100" w:line="259" w:lineRule="auto"/>
      </w:pPr>
      <w:r>
        <w:t>The lower reaction zone produces high-energy output. The system does not route raw gamma radiation directly to the engines. Instead, it converts usable output into plasma flow, electromagnetic power, thermal-electric power, or charged-particle momentum. That converted energy is routed through protected conduits to the dual upper engines.</w:t>
      </w:r>
    </w:p>
    <w:p w14:paraId="21C67871" w14:textId="77777777" w:rsidR="0031585A" w:rsidRDefault="00000000">
      <w:pPr>
        <w:spacing w:before="60" w:after="120"/>
        <w:jc w:val="center"/>
      </w:pPr>
      <w:r>
        <w:t>E_converted = η_c E_generated</w:t>
      </w:r>
    </w:p>
    <w:p w14:paraId="560752CD" w14:textId="77777777" w:rsidR="0031585A" w:rsidRDefault="00000000">
      <w:pPr>
        <w:spacing w:before="60" w:after="120"/>
        <w:jc w:val="center"/>
      </w:pPr>
      <w:r>
        <w:t>P_engine = η_r P_converted / 2</w:t>
      </w:r>
    </w:p>
    <w:p w14:paraId="720074CF" w14:textId="77777777" w:rsidR="0031585A" w:rsidRDefault="00000000">
      <w:pPr>
        <w:spacing w:after="100" w:line="259" w:lineRule="auto"/>
      </w:pPr>
      <w:r>
        <w:t>The division by two represents symmetric routing to two engines. The routing efficiency η_r represents losses through conversion, transmission, thermal leakage, and control electronics.</w:t>
      </w:r>
    </w:p>
    <w:p w14:paraId="168E3073" w14:textId="77777777" w:rsidR="0031585A" w:rsidRDefault="00000000">
      <w:pPr>
        <w:spacing w:before="240" w:after="80"/>
      </w:pPr>
      <w:r>
        <w:rPr>
          <w:b/>
          <w:sz w:val="26"/>
        </w:rPr>
        <w:t>Dual Upper Engine Propulsion</w:t>
      </w:r>
    </w:p>
    <w:p w14:paraId="67E55A02" w14:textId="77777777" w:rsidR="0031585A" w:rsidRDefault="00000000">
      <w:pPr>
        <w:spacing w:after="100" w:line="259" w:lineRule="auto"/>
      </w:pPr>
      <w:r>
        <w:lastRenderedPageBreak/>
        <w:t>The dual upper engines provide balanced propulsion and steering. Their purpose is not only speed, but stability. With two engines, thrust can be balanced, torque can be corrected, and one engine can compensate during partial failure or controlled maneuvering.</w:t>
      </w:r>
    </w:p>
    <w:p w14:paraId="64BADB56" w14:textId="77777777" w:rsidR="0031585A" w:rsidRDefault="00000000">
      <w:pPr>
        <w:spacing w:before="60" w:after="120"/>
        <w:jc w:val="center"/>
      </w:pPr>
      <w:r>
        <w:t>F = ṁ v_e</w:t>
      </w:r>
    </w:p>
    <w:p w14:paraId="6F7D5F8F" w14:textId="77777777" w:rsidR="0031585A" w:rsidRDefault="00000000">
      <w:pPr>
        <w:spacing w:before="60" w:after="120"/>
        <w:jc w:val="center"/>
      </w:pPr>
      <w:r>
        <w:t>P_jet = 1/2 ṁ v_e²</w:t>
      </w:r>
    </w:p>
    <w:p w14:paraId="37C7F1AD" w14:textId="77777777" w:rsidR="0031585A" w:rsidRDefault="00000000">
      <w:pPr>
        <w:spacing w:before="60" w:after="120"/>
        <w:jc w:val="center"/>
      </w:pPr>
      <w:r>
        <w:t>F_total = F_left + F_right</w:t>
      </w:r>
    </w:p>
    <w:p w14:paraId="0C8F5616" w14:textId="77777777" w:rsidR="0031585A" w:rsidRDefault="00000000">
      <w:pPr>
        <w:spacing w:before="60" w:after="120"/>
        <w:jc w:val="center"/>
      </w:pPr>
      <w:r>
        <w:t>τ_control = r(F_left - F_right)</w:t>
      </w:r>
    </w:p>
    <w:p w14:paraId="71E65478" w14:textId="77777777" w:rsidR="0031585A" w:rsidRDefault="00000000">
      <w:pPr>
        <w:spacing w:after="100" w:line="259" w:lineRule="auto"/>
      </w:pPr>
      <w:r>
        <w:t>The torque-control equation shows that differential thrust can rotate or stabilize the craft. Equal thrust provides straight-line acceleration. Unequal thrust provides steering correction.</w:t>
      </w:r>
    </w:p>
    <w:p w14:paraId="2C436E90" w14:textId="77777777" w:rsidR="0031585A" w:rsidRDefault="00000000">
      <w:pPr>
        <w:spacing w:before="240" w:after="80"/>
      </w:pPr>
      <w:r>
        <w:rPr>
          <w:b/>
          <w:sz w:val="26"/>
        </w:rPr>
        <w:t>Realistic Plasma and Fusion-Assisted Embodiment</w:t>
      </w:r>
    </w:p>
    <w:p w14:paraId="31F5649A" w14:textId="77777777" w:rsidR="0031585A" w:rsidRDefault="00000000">
      <w:pPr>
        <w:spacing w:after="100" w:line="259" w:lineRule="auto"/>
      </w:pPr>
      <w:r>
        <w:t>The most realistic near-term version of this architecture uses plasma or fusion-assisted propulsion rather than large-scale antimatter. Magnetic confinement and magnetic nozzle research already support the idea of guiding plasma and reducing material contact, although spacecraft-scale high-energy fusion propulsion remains unsolved. In this practical embodiment, the circular pulse architecture controls plasma pulses, not antimatter packets.</w:t>
      </w:r>
    </w:p>
    <w:p w14:paraId="2E213D11" w14:textId="77777777" w:rsidR="0031585A" w:rsidRDefault="00000000">
      <w:pPr>
        <w:spacing w:before="60" w:after="120"/>
        <w:jc w:val="center"/>
      </w:pPr>
      <w:r>
        <w:t>β = p_plasma / p_magnetic</w:t>
      </w:r>
    </w:p>
    <w:p w14:paraId="4C3075D7" w14:textId="77777777" w:rsidR="0031585A" w:rsidRDefault="00000000">
      <w:pPr>
        <w:spacing w:before="60" w:after="120"/>
        <w:jc w:val="center"/>
      </w:pPr>
      <w:r>
        <w:t>p_magnetic = B² / 2μ₀</w:t>
      </w:r>
    </w:p>
    <w:p w14:paraId="7A258993" w14:textId="77777777" w:rsidR="0031585A" w:rsidRDefault="00000000">
      <w:pPr>
        <w:spacing w:after="100" w:line="259" w:lineRule="auto"/>
      </w:pPr>
      <w:r>
        <w:t>The magnetic pressure relation describes how strong magnetic fields can help confine plasma pressure. It does not imply that magnetic fields can steer neutral rocks or gamma rays. It applies to charged plasma control inside propulsion systems.</w:t>
      </w:r>
    </w:p>
    <w:p w14:paraId="0D1BCFC1" w14:textId="77777777" w:rsidR="0031585A" w:rsidRDefault="00000000">
      <w:pPr>
        <w:spacing w:before="240" w:after="80"/>
      </w:pPr>
      <w:r>
        <w:rPr>
          <w:b/>
          <w:sz w:val="26"/>
        </w:rPr>
        <w:t>Impact Protection for Small Rocks and Micrometeoroids</w:t>
      </w:r>
    </w:p>
    <w:p w14:paraId="7EFDE29F" w14:textId="77777777" w:rsidR="0031585A" w:rsidRDefault="00000000">
      <w:pPr>
        <w:spacing w:after="100" w:line="259" w:lineRule="auto"/>
      </w:pPr>
      <w:r>
        <w:t>The paper removes artificial gravity shielding and magnetic rock deflection as primary protection methods. The realistic protection method is a physical impact system based on Whipple-style shielding. Small rocks and micrometeoroids are neutral macroscopic objects, so they are handled by detection, fragmentation, spacing, and absorption.</w:t>
      </w:r>
    </w:p>
    <w:p w14:paraId="6CEBE0D9" w14:textId="77777777" w:rsidR="0031585A" w:rsidRDefault="00000000">
      <w:pPr>
        <w:spacing w:before="60" w:after="120"/>
        <w:jc w:val="center"/>
      </w:pPr>
      <w:r>
        <w:t>E_k = 1/2 m v²</w:t>
      </w:r>
    </w:p>
    <w:p w14:paraId="301DE509" w14:textId="77777777" w:rsidR="0031585A" w:rsidRDefault="00000000">
      <w:pPr>
        <w:spacing w:after="100" w:line="259" w:lineRule="auto"/>
      </w:pPr>
      <w:r>
        <w:t>Because velocity is squared, even a small rock can carry dangerous impact energy at spacecraft speeds. Protection therefore uses a layered system. The outer bumper breaks the object. The gap spreads the fragment cloud. The capture layer absorbs remaining fragments. The structural hull protects the crew and systems behind it.</w:t>
      </w:r>
    </w:p>
    <w:p w14:paraId="05E85C05" w14:textId="77777777" w:rsidR="0031585A" w:rsidRDefault="00000000">
      <w:pPr>
        <w:spacing w:before="60" w:after="100" w:line="259" w:lineRule="auto"/>
      </w:pPr>
      <w:r>
        <w:rPr>
          <w:b/>
        </w:rPr>
        <w:t>Forward bumper.</w:t>
      </w:r>
      <w:r>
        <w:t xml:space="preserve"> A sacrificial outer layer breaks or vaporizes a small incoming particle.</w:t>
      </w:r>
    </w:p>
    <w:p w14:paraId="3E1EE5D0" w14:textId="77777777" w:rsidR="0031585A" w:rsidRDefault="00000000">
      <w:pPr>
        <w:spacing w:before="60" w:after="100" w:line="259" w:lineRule="auto"/>
      </w:pPr>
      <w:r>
        <w:rPr>
          <w:b/>
        </w:rPr>
        <w:t>Fragmentation gap.</w:t>
      </w:r>
      <w:r>
        <w:t xml:space="preserve"> A spacing layer allows the debris cloud to expand, reducing concentrated impact pressure.</w:t>
      </w:r>
    </w:p>
    <w:p w14:paraId="426326AB" w14:textId="77777777" w:rsidR="0031585A" w:rsidRDefault="00000000">
      <w:pPr>
        <w:spacing w:before="60" w:after="100" w:line="259" w:lineRule="auto"/>
      </w:pPr>
      <w:r>
        <w:rPr>
          <w:b/>
        </w:rPr>
        <w:t>Capture layer.</w:t>
      </w:r>
      <w:r>
        <w:t xml:space="preserve"> A fabric, composite, ceramic, or metal layer absorbs the dispersed fragments.</w:t>
      </w:r>
    </w:p>
    <w:p w14:paraId="70CF3A3F" w14:textId="77777777" w:rsidR="0031585A" w:rsidRDefault="00000000">
      <w:pPr>
        <w:spacing w:before="60" w:after="100" w:line="259" w:lineRule="auto"/>
      </w:pPr>
      <w:r>
        <w:rPr>
          <w:b/>
        </w:rPr>
        <w:t>Inner hull.</w:t>
      </w:r>
      <w:r>
        <w:t xml:space="preserve"> The structural hull protects the crew volume and critical systems.</w:t>
      </w:r>
    </w:p>
    <w:p w14:paraId="58FA71B4" w14:textId="77777777" w:rsidR="0031585A" w:rsidRDefault="00000000">
      <w:pPr>
        <w:spacing w:before="60" w:after="120"/>
        <w:jc w:val="center"/>
      </w:pPr>
      <w:r>
        <w:t>E_remaining = E_k - E_absorbed</w:t>
      </w:r>
    </w:p>
    <w:p w14:paraId="1AE8F91C" w14:textId="77777777" w:rsidR="0031585A" w:rsidRDefault="00000000">
      <w:pPr>
        <w:spacing w:after="100" w:line="259" w:lineRule="auto"/>
      </w:pPr>
      <w:r>
        <w:t>A future beam-assisted system may weaken or ablate very small particles before impact, but the primary shield remains physical fragmentation and absorption.</w:t>
      </w:r>
    </w:p>
    <w:p w14:paraId="76A95E2B" w14:textId="77777777" w:rsidR="0031585A" w:rsidRDefault="00000000">
      <w:pPr>
        <w:spacing w:before="240" w:after="80"/>
      </w:pPr>
      <w:r>
        <w:rPr>
          <w:b/>
          <w:sz w:val="26"/>
        </w:rPr>
        <w:lastRenderedPageBreak/>
        <w:t>Materials Strategy</w:t>
      </w:r>
    </w:p>
    <w:p w14:paraId="5A8E7DE6" w14:textId="77777777" w:rsidR="0031585A" w:rsidRDefault="00000000">
      <w:pPr>
        <w:spacing w:after="100" w:line="259" w:lineRule="auto"/>
      </w:pPr>
      <w:r>
        <w:t>The material strategy combines thermal, radiation, plasma, and debris protection. No single material solves all problems. The design uses layers and location-specific materials.</w:t>
      </w:r>
    </w:p>
    <w:p w14:paraId="2780B826" w14:textId="77777777" w:rsidR="0031585A" w:rsidRDefault="00000000">
      <w:pPr>
        <w:spacing w:before="60" w:after="100" w:line="259" w:lineRule="auto"/>
      </w:pPr>
      <w:r>
        <w:rPr>
          <w:b/>
        </w:rPr>
        <w:t>Carbon-carbon composite.</w:t>
      </w:r>
      <w:r>
        <w:t xml:space="preserve"> Useful for high-temperature external thermal protection and sacrificial bumper structures.</w:t>
      </w:r>
    </w:p>
    <w:p w14:paraId="10254A3F" w14:textId="77777777" w:rsidR="0031585A" w:rsidRDefault="00000000">
      <w:pPr>
        <w:spacing w:before="60" w:after="100" w:line="259" w:lineRule="auto"/>
      </w:pPr>
      <w:r>
        <w:rPr>
          <w:b/>
        </w:rPr>
        <w:t>Tungsten and rhenium.</w:t>
      </w:r>
      <w:r>
        <w:t xml:space="preserve"> Useful near high-heat and gamma-shielding regions because of density and high melting temperatures.</w:t>
      </w:r>
    </w:p>
    <w:p w14:paraId="019E0E75" w14:textId="77777777" w:rsidR="0031585A" w:rsidRDefault="00000000">
      <w:pPr>
        <w:spacing w:before="60" w:after="100" w:line="259" w:lineRule="auto"/>
      </w:pPr>
      <w:r>
        <w:rPr>
          <w:b/>
        </w:rPr>
        <w:t>Hafnium carbide and zirconium carbide.</w:t>
      </w:r>
      <w:r>
        <w:t xml:space="preserve"> Useful as ultra-high-temperature ceramic liners and thermal barriers.</w:t>
      </w:r>
    </w:p>
    <w:p w14:paraId="279D617E" w14:textId="77777777" w:rsidR="0031585A" w:rsidRDefault="00000000">
      <w:pPr>
        <w:spacing w:before="60" w:after="100" w:line="259" w:lineRule="auto"/>
      </w:pPr>
      <w:r>
        <w:rPr>
          <w:b/>
        </w:rPr>
        <w:t>Boron carbide.</w:t>
      </w:r>
      <w:r>
        <w:t xml:space="preserve"> Useful in radiation shielding and hard impact-resistant layers.</w:t>
      </w:r>
    </w:p>
    <w:p w14:paraId="5BB1E116" w14:textId="77777777" w:rsidR="0031585A" w:rsidRDefault="00000000">
      <w:pPr>
        <w:spacing w:before="60" w:after="100" w:line="259" w:lineRule="auto"/>
      </w:pPr>
      <w:r>
        <w:rPr>
          <w:b/>
        </w:rPr>
        <w:t>Hydrogen-rich polymers or water.</w:t>
      </w:r>
      <w:r>
        <w:t xml:space="preserve"> Useful for secondary radiation buffering and crew-side protection.</w:t>
      </w:r>
    </w:p>
    <w:p w14:paraId="5214E4D1" w14:textId="77777777" w:rsidR="0031585A" w:rsidRDefault="00000000">
      <w:pPr>
        <w:spacing w:before="60" w:after="100" w:line="259" w:lineRule="auto"/>
      </w:pPr>
      <w:r>
        <w:rPr>
          <w:b/>
        </w:rPr>
        <w:t>Titanium and aluminum-lithium alloys.</w:t>
      </w:r>
      <w:r>
        <w:t xml:space="preserve"> Useful for structural support where lower mass is required.</w:t>
      </w:r>
    </w:p>
    <w:p w14:paraId="069B0397" w14:textId="77777777" w:rsidR="0031585A" w:rsidRDefault="00000000">
      <w:pPr>
        <w:spacing w:before="240" w:after="80"/>
      </w:pPr>
      <w:r>
        <w:rPr>
          <w:b/>
          <w:sz w:val="26"/>
        </w:rPr>
        <w:t>Technology Readiness</w:t>
      </w:r>
    </w:p>
    <w:p w14:paraId="03E56D49" w14:textId="77777777" w:rsidR="0031585A" w:rsidRDefault="00000000">
      <w:pPr>
        <w:spacing w:after="100" w:line="259" w:lineRule="auto"/>
      </w:pPr>
      <w:r>
        <w:t>The architecture is partially compatible with current research areas. Pulsed plasma systems, fusion plasma research, superconducting magnets, layered radiation shielding, Whipple shielding, and phase-control electronics all exist as real domains of engineering. They are not yet integrated into a spacecraft that can produce antimatter propulsion or relativistic travel.</w:t>
      </w:r>
    </w:p>
    <w:p w14:paraId="139E2A31" w14:textId="77777777" w:rsidR="0031585A" w:rsidRDefault="00000000">
      <w:pPr>
        <w:spacing w:after="100" w:line="259" w:lineRule="auto"/>
      </w:pPr>
      <w:r>
        <w:t>The theoretical extensions include antimatter pulse triggering, high-energy pulse packets, high throttle warp-mode states, and beam-assisted debris weakening. These are not presented as present-day buildable spacecraft systems. They are research directions organized by a common architecture.</w:t>
      </w:r>
    </w:p>
    <w:p w14:paraId="35C554C5" w14:textId="77777777" w:rsidR="0031585A" w:rsidRDefault="00000000">
      <w:pPr>
        <w:spacing w:before="240" w:after="80"/>
      </w:pPr>
      <w:r>
        <w:rPr>
          <w:b/>
          <w:sz w:val="26"/>
        </w:rPr>
        <w:t>Energy Distribution Constraint</w:t>
      </w:r>
    </w:p>
    <w:p w14:paraId="6E51E188" w14:textId="77777777" w:rsidR="0031585A" w:rsidRDefault="00000000">
      <w:pPr>
        <w:spacing w:after="100" w:line="259" w:lineRule="auto"/>
      </w:pPr>
      <w:r>
        <w:t>The correct limitation is not that radiation is stored or that gamma rays must be held inside the engine. In this architecture, radiation and high-energy exhaust are deliberately released through the lower rearward exhaust geometry as soon as they are generated. The lower reaction zone is therefore a pulse-through region, not a storage region.</w:t>
      </w:r>
    </w:p>
    <w:p w14:paraId="564601AF" w14:textId="77777777" w:rsidR="0031585A" w:rsidRDefault="00000000">
      <w:pPr>
        <w:spacing w:before="60" w:after="120"/>
        <w:jc w:val="center"/>
      </w:pPr>
      <w:r>
        <w:t>dE_stored / dt ≈ 0</w:t>
      </w:r>
    </w:p>
    <w:p w14:paraId="56BB8A56" w14:textId="77777777" w:rsidR="0031585A" w:rsidRDefault="00000000">
      <w:pPr>
        <w:spacing w:before="60" w:after="120"/>
        <w:jc w:val="center"/>
      </w:pPr>
      <w:r>
        <w:t>E_generated(t) → E_rear_exhaust(t) + E_converted(t) + E_loss(t)</w:t>
      </w:r>
    </w:p>
    <w:p w14:paraId="73B6F76E" w14:textId="77777777" w:rsidR="0031585A" w:rsidRDefault="00000000">
      <w:pPr>
        <w:spacing w:after="100" w:line="259" w:lineRule="auto"/>
      </w:pPr>
      <w:r>
        <w:t>The remaining constraint is that the system must still supply the energy required for the selected propulsion state. Timing, CST synchronization, Euler phase control, and throttle control distribute and regulate that energy. They do not create energy from nothing. Their purpose is to prevent destructive accumulation, coordinate chamber firing, reduce structural shock, route converted power to the engines, and allow radiation to leave through the lower rearward path instead of accumulating inside the craft.</w:t>
      </w:r>
    </w:p>
    <w:p w14:paraId="4D3F3045" w14:textId="77777777" w:rsidR="0031585A" w:rsidRDefault="00000000">
      <w:pPr>
        <w:spacing w:after="100" w:line="259" w:lineRule="auto"/>
      </w:pPr>
      <w:r>
        <w:t>This theory is therefore strongest when framed as a phase-controlled, continuous pulse-through energy-flow architecture. The key design principle is immediate rearward exhaust of radiation and high-energy products, with converted usable energy routed to dual engines for propulsion control.</w:t>
      </w:r>
    </w:p>
    <w:p w14:paraId="0C2BA3E8" w14:textId="77777777" w:rsidR="0031585A" w:rsidRDefault="00000000">
      <w:pPr>
        <w:spacing w:before="240" w:after="80"/>
      </w:pPr>
      <w:r>
        <w:rPr>
          <w:b/>
          <w:sz w:val="26"/>
        </w:rPr>
        <w:t>Conclusion</w:t>
      </w:r>
    </w:p>
    <w:p w14:paraId="013BB0C9" w14:textId="77777777" w:rsidR="0031585A" w:rsidRDefault="00000000">
      <w:pPr>
        <w:spacing w:after="100" w:line="259" w:lineRule="auto"/>
      </w:pPr>
      <w:r>
        <w:t xml:space="preserve">This paper presents a CST-guided distributed pulse propulsion architecture using rotational pulse sequencing, Euler phase control, throttle scaling, lower aft reaction placement, rearward radiation exhaust, dual-engine power routing, layered radiation shielding, and Whipple-style impact protection. The design replaces centralized bulk energy storage with continuous pulse-through energy flow. The lower reaction zone releases </w:t>
      </w:r>
      <w:r>
        <w:lastRenderedPageBreak/>
        <w:t>radiation and energetic products rearward instead of storing them. Usable energy is converted and routed to dual upper engines.</w:t>
      </w:r>
    </w:p>
    <w:p w14:paraId="69F9B6A8" w14:textId="77777777" w:rsidR="0031585A" w:rsidRDefault="00000000">
      <w:pPr>
        <w:spacing w:after="100" w:line="259" w:lineRule="auto"/>
      </w:pPr>
      <w:r>
        <w:t>The realistic near-term version of the architecture uses plasma or fusion-assisted propulsion. Antimatter remains a theoretical upper-bound extension because production, confinement, and conversion are not yet available at spacecraft scale. The central contribution is the integrated architecture: separate the crew from the reaction zone, protect the crew with layered shielding, exhaust radiation rearward, convert usable energy before routing it to engines, and control the pulse sequence through CST and Euler phase logic.</w:t>
      </w:r>
    </w:p>
    <w:p w14:paraId="2BE1283F" w14:textId="77777777" w:rsidR="0031585A" w:rsidRDefault="00000000">
      <w:pPr>
        <w:spacing w:before="240" w:after="80"/>
      </w:pPr>
      <w:r>
        <w:rPr>
          <w:b/>
          <w:sz w:val="26"/>
        </w:rPr>
        <w:t>References</w:t>
      </w:r>
    </w:p>
    <w:p w14:paraId="77D1B653" w14:textId="77777777" w:rsidR="0031585A" w:rsidRDefault="00000000">
      <w:pPr>
        <w:spacing w:after="60"/>
      </w:pPr>
      <w:r>
        <w:t>Einstein, A. Does the Inertia of a Body Depend Upon Its Energy Content. Annalen der Physik, 1905.</w:t>
      </w:r>
    </w:p>
    <w:p w14:paraId="434C8C42" w14:textId="77777777" w:rsidR="0031585A" w:rsidRDefault="00000000">
      <w:pPr>
        <w:spacing w:after="60"/>
      </w:pPr>
      <w:r>
        <w:t>Jackson, J. D. Classical Electrodynamics. Wiley, 1999.</w:t>
      </w:r>
    </w:p>
    <w:p w14:paraId="6AAD8E6D" w14:textId="77777777" w:rsidR="0031585A" w:rsidRDefault="00000000">
      <w:pPr>
        <w:spacing w:after="60"/>
      </w:pPr>
      <w:r>
        <w:t>Griffiths, D. J. Introduction to Electrodynamics. Cambridge University Press, 2017.</w:t>
      </w:r>
    </w:p>
    <w:p w14:paraId="1F3DCC42" w14:textId="77777777" w:rsidR="0031585A" w:rsidRDefault="00000000">
      <w:pPr>
        <w:spacing w:after="60"/>
      </w:pPr>
      <w:r>
        <w:t>Sutton, G. P., and Biblarz, O. Rocket Propulsion Elements. Wiley, 2016.</w:t>
      </w:r>
    </w:p>
    <w:p w14:paraId="20D1BF98" w14:textId="77777777" w:rsidR="0031585A" w:rsidRDefault="00000000">
      <w:pPr>
        <w:spacing w:after="60"/>
      </w:pPr>
      <w:r>
        <w:t>NASA Hypervelocity Impact Technology. Shield Development and Basic Concepts, NASA Johnson Space Center.</w:t>
      </w:r>
    </w:p>
    <w:p w14:paraId="29AFE5DD" w14:textId="77777777" w:rsidR="0031585A" w:rsidRDefault="00000000">
      <w:pPr>
        <w:spacing w:after="60"/>
      </w:pPr>
      <w:r>
        <w:t>NASA Technical Reports Server. Micrometeoroid and Orbital Debris Risk and Shielding Reports.</w:t>
      </w:r>
    </w:p>
    <w:p w14:paraId="5C12193D" w14:textId="77777777" w:rsidR="0031585A" w:rsidRDefault="00000000">
      <w:pPr>
        <w:spacing w:after="60"/>
      </w:pPr>
      <w:r>
        <w:t>CERN ALPHA Experiment. Penning Trap and Antimatter Confinement.</w:t>
      </w:r>
    </w:p>
    <w:p w14:paraId="3D5F1DB7" w14:textId="77777777" w:rsidR="0031585A" w:rsidRDefault="00000000">
      <w:pPr>
        <w:spacing w:after="60"/>
      </w:pPr>
      <w:r>
        <w:t>CERN BASE Experiment. Portable Antiproton Trap Demonstration and Antimatter Transport Research, 2026.</w:t>
      </w:r>
    </w:p>
    <w:p w14:paraId="0503C62F" w14:textId="77777777" w:rsidR="0031585A" w:rsidRDefault="00000000">
      <w:pPr>
        <w:spacing w:after="60"/>
      </w:pPr>
      <w:r>
        <w:t>ITER Organization. Fusion Plasma and Magnetic Confinement Research.</w:t>
      </w:r>
    </w:p>
    <w:p w14:paraId="7CD69E3C" w14:textId="77777777" w:rsidR="0031585A" w:rsidRDefault="00000000">
      <w:pPr>
        <w:spacing w:after="60"/>
      </w:pPr>
      <w:r>
        <w:t>NASA Technical Reports Server. Magnetic Nozzle and Plasma Detachment Experiment.</w:t>
      </w:r>
    </w:p>
    <w:p w14:paraId="50816798" w14:textId="77777777" w:rsidR="0031585A" w:rsidRDefault="00000000">
      <w:pPr>
        <w:spacing w:after="60"/>
      </w:pPr>
      <w:r>
        <w:t>NASA Technical Reports Server. Integrity of the Plasma Magnetic Nozzle.</w:t>
      </w:r>
    </w:p>
    <w:p w14:paraId="45A6F96A" w14:textId="77777777" w:rsidR="00F36C41" w:rsidRDefault="00F36C41">
      <w:pPr>
        <w:spacing w:after="60"/>
      </w:pPr>
    </w:p>
    <w:p w14:paraId="770D41BB" w14:textId="512868B3" w:rsidR="00F36C41" w:rsidRDefault="00F36C41" w:rsidP="00F36C41">
      <w:pPr>
        <w:spacing w:after="60"/>
        <w:jc w:val="center"/>
      </w:pPr>
      <w:r>
        <w:rPr>
          <w:noProof/>
        </w:rPr>
        <w:drawing>
          <wp:inline distT="0" distB="0" distL="0" distR="0" wp14:anchorId="16458115" wp14:editId="75FFB266">
            <wp:extent cx="5857875" cy="3905250"/>
            <wp:effectExtent l="0" t="0" r="9525" b="0"/>
            <wp:docPr id="949091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91187" name="Picture 949091187"/>
                    <pic:cNvPicPr/>
                  </pic:nvPicPr>
                  <pic:blipFill>
                    <a:blip r:embed="rId6"/>
                    <a:stretch>
                      <a:fillRect/>
                    </a:stretch>
                  </pic:blipFill>
                  <pic:spPr>
                    <a:xfrm>
                      <a:off x="0" y="0"/>
                      <a:ext cx="5861130" cy="3907420"/>
                    </a:xfrm>
                    <a:prstGeom prst="rect">
                      <a:avLst/>
                    </a:prstGeom>
                  </pic:spPr>
                </pic:pic>
              </a:graphicData>
            </a:graphic>
          </wp:inline>
        </w:drawing>
      </w:r>
    </w:p>
    <w:sectPr w:rsidR="00F36C41" w:rsidSect="00034616">
      <w:pgSz w:w="12240" w:h="15840"/>
      <w:pgMar w:top="1152" w:right="1224" w:bottom="1152" w:left="122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723409367">
    <w:abstractNumId w:val="8"/>
  </w:num>
  <w:num w:numId="2" w16cid:durableId="1168012390">
    <w:abstractNumId w:val="6"/>
  </w:num>
  <w:num w:numId="3" w16cid:durableId="1012032882">
    <w:abstractNumId w:val="5"/>
  </w:num>
  <w:num w:numId="4" w16cid:durableId="749278935">
    <w:abstractNumId w:val="4"/>
  </w:num>
  <w:num w:numId="5" w16cid:durableId="879899533">
    <w:abstractNumId w:val="7"/>
  </w:num>
  <w:num w:numId="6" w16cid:durableId="704673660">
    <w:abstractNumId w:val="3"/>
  </w:num>
  <w:num w:numId="7" w16cid:durableId="187450726">
    <w:abstractNumId w:val="2"/>
  </w:num>
  <w:num w:numId="8" w16cid:durableId="78602874">
    <w:abstractNumId w:val="1"/>
  </w:num>
  <w:num w:numId="9" w16cid:durableId="1336152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37AF0"/>
    <w:rsid w:val="0006063C"/>
    <w:rsid w:val="0015074B"/>
    <w:rsid w:val="0029639D"/>
    <w:rsid w:val="0031585A"/>
    <w:rsid w:val="00326F90"/>
    <w:rsid w:val="003931C0"/>
    <w:rsid w:val="00AA1D8D"/>
    <w:rsid w:val="00B47730"/>
    <w:rsid w:val="00CB0664"/>
    <w:rsid w:val="00F36C4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A7A49D"/>
  <w14:defaultImageDpi w14:val="300"/>
  <w15:docId w15:val="{C74DD74A-AEBD-4C9F-9BA5-5153FD6E3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3195</Words>
  <Characters>18217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21370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Gabino Casanova</cp:lastModifiedBy>
  <cp:revision>2</cp:revision>
  <dcterms:created xsi:type="dcterms:W3CDTF">2013-12-23T23:15:00Z</dcterms:created>
  <dcterms:modified xsi:type="dcterms:W3CDTF">2026-05-05T12:58:00Z</dcterms:modified>
  <cp:category/>
</cp:coreProperties>
</file>