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55F36" w14:textId="7777777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Einsteinian Foundations for Warp Drive Engine and CST Navigation System</w:t>
      </w:r>
    </w:p>
    <w:p w14:paraId="0E125849" w14:textId="77777777" w:rsidR="00157010" w:rsidRPr="00157010" w:rsidRDefault="00157010" w:rsidP="00157010">
      <w:pPr>
        <w:spacing w:before="100" w:beforeAutospacing="1" w:after="100" w:afterAutospacing="1" w:line="240" w:lineRule="auto"/>
        <w:outlineLvl w:val="1"/>
        <w:rPr>
          <w:rFonts w:ascii="Times New Roman" w:eastAsia="Times New Roman" w:hAnsi="Times New Roman" w:cs="Times New Roman"/>
          <w:b/>
          <w:bCs/>
          <w:sz w:val="36"/>
          <w:szCs w:val="36"/>
        </w:rPr>
      </w:pPr>
      <w:r w:rsidRPr="00157010">
        <w:rPr>
          <w:rFonts w:ascii="Times New Roman" w:eastAsia="Times New Roman" w:hAnsi="Times New Roman" w:cs="Times New Roman"/>
          <w:b/>
          <w:bCs/>
          <w:sz w:val="36"/>
          <w:szCs w:val="36"/>
        </w:rPr>
        <w:t>Updated Research Paper with Modern Warp Physics, CST Navigation, and Hybrid Propulsion Analysis</w:t>
      </w:r>
    </w:p>
    <w:p w14:paraId="70D1AECD" w14:textId="48AE05B5"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Based on your uploaded </w:t>
      </w:r>
      <w:r w:rsidRPr="00157010">
        <w:rPr>
          <w:rFonts w:ascii="Times New Roman" w:eastAsia="Times New Roman" w:hAnsi="Times New Roman" w:cs="Times New Roman"/>
          <w:sz w:val="24"/>
          <w:szCs w:val="24"/>
        </w:rPr>
        <w:t>document,</w:t>
      </w:r>
      <w:r w:rsidRPr="00157010">
        <w:rPr>
          <w:rFonts w:ascii="Times New Roman" w:eastAsia="Times New Roman" w:hAnsi="Times New Roman" w:cs="Times New Roman"/>
          <w:sz w:val="24"/>
          <w:szCs w:val="24"/>
        </w:rPr>
        <w:t xml:space="preserve"> the following updated research framework expands the theoretical foundation using the newest warp-drive research, Einsteinian spacetime metrics, CST synchronization concepts, hybrid propulsion integration, and corrected equation interpretations.</w:t>
      </w:r>
    </w:p>
    <w:p w14:paraId="0F270259" w14:textId="77777777" w:rsidR="00157010" w:rsidRPr="00157010" w:rsidRDefault="00157010" w:rsidP="00157010">
      <w:pPr>
        <w:spacing w:before="100" w:beforeAutospacing="1" w:after="100" w:afterAutospacing="1" w:line="240" w:lineRule="auto"/>
        <w:outlineLvl w:val="1"/>
        <w:rPr>
          <w:rFonts w:ascii="Times New Roman" w:eastAsia="Times New Roman" w:hAnsi="Times New Roman" w:cs="Times New Roman"/>
          <w:b/>
          <w:bCs/>
          <w:sz w:val="36"/>
          <w:szCs w:val="36"/>
        </w:rPr>
      </w:pPr>
      <w:r w:rsidRPr="00157010">
        <w:rPr>
          <w:rFonts w:ascii="Times New Roman" w:eastAsia="Times New Roman" w:hAnsi="Times New Roman" w:cs="Times New Roman"/>
          <w:b/>
          <w:bCs/>
          <w:sz w:val="36"/>
          <w:szCs w:val="36"/>
        </w:rPr>
        <w:t>Author Information</w:t>
      </w:r>
    </w:p>
    <w:p w14:paraId="6691D663"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b/>
          <w:bCs/>
          <w:sz w:val="24"/>
          <w:szCs w:val="24"/>
        </w:rPr>
        <w:t>Gabino Casanova</w:t>
      </w:r>
      <w:r w:rsidRPr="00157010">
        <w:rPr>
          <w:rFonts w:ascii="Times New Roman" w:eastAsia="Times New Roman" w:hAnsi="Times New Roman" w:cs="Times New Roman"/>
          <w:sz w:val="24"/>
          <w:szCs w:val="24"/>
        </w:rPr>
        <w:br/>
        <w:t>Independent Research Researcher and Systems Theorist</w:t>
      </w:r>
      <w:r w:rsidRPr="00157010">
        <w:rPr>
          <w:rFonts w:ascii="Times New Roman" w:eastAsia="Times New Roman" w:hAnsi="Times New Roman" w:cs="Times New Roman"/>
          <w:sz w:val="24"/>
          <w:szCs w:val="24"/>
        </w:rPr>
        <w:br/>
        <w:t>Brownsville, Texas, USA</w:t>
      </w:r>
      <w:r w:rsidRPr="00157010">
        <w:rPr>
          <w:rFonts w:ascii="Times New Roman" w:eastAsia="Times New Roman" w:hAnsi="Times New Roman" w:cs="Times New Roman"/>
          <w:sz w:val="24"/>
          <w:szCs w:val="24"/>
        </w:rPr>
        <w:br/>
        <w:t>Interstellar Star Clock Research Portal</w:t>
      </w:r>
    </w:p>
    <w:p w14:paraId="727EB248" w14:textId="7777777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Scientific Disclaimer</w:t>
      </w:r>
    </w:p>
    <w:p w14:paraId="018A78EF" w14:textId="1E354C18"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This paper presents a hybrid theoretical framework integrating established physics with exploratory concepts related to warp-field engineering, Cosmic Standard Time (CST), synchronized navigation systems, and advanced propulsion. Portions discussing faster-than-light spacetime engineering remain speculative and are not experimentally verified. All equations from General Relativity, quantum mechanics, electrodynamics, and atomic timing are referenced within accepted scientific theory, while CST synchronization and hybrid warp-control interpretations </w:t>
      </w:r>
      <w:r w:rsidRPr="00157010">
        <w:rPr>
          <w:rFonts w:ascii="Times New Roman" w:eastAsia="Times New Roman" w:hAnsi="Times New Roman" w:cs="Times New Roman"/>
          <w:sz w:val="24"/>
          <w:szCs w:val="24"/>
        </w:rPr>
        <w:t>proposed</w:t>
      </w:r>
      <w:r w:rsidRPr="00157010">
        <w:rPr>
          <w:rFonts w:ascii="Times New Roman" w:eastAsia="Times New Roman" w:hAnsi="Times New Roman" w:cs="Times New Roman"/>
          <w:sz w:val="24"/>
          <w:szCs w:val="24"/>
        </w:rPr>
        <w:t xml:space="preserve"> engineering extensions requiring future validation.</w:t>
      </w:r>
    </w:p>
    <w:p w14:paraId="26DD1071" w14:textId="7777777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Abstract</w:t>
      </w:r>
    </w:p>
    <w:p w14:paraId="09CC893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paper expands the Einsteinian foundations of warp-drive physics by integrating modern spacetime metric research, quantum timing synchronization, hybrid plasma propulsion systems, and Cosmic Standard Time (CST) navigation architecture. Recent theoretical developments suggest that positive-energy warp configurations may reduce or redistribute the extreme exotic energy requirements of earlier Alcubierre-style metrics. The study examines relativistic timing, Einstein field curvature, harmonic field stabilization, atomic synchronization systems, quantum clock corrections, and hybrid propulsion integration using synchronized plasma and electromagnetic control systems.</w:t>
      </w:r>
    </w:p>
    <w:p w14:paraId="06B96F8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CST framework is proposed as a multi-clock synchronization architecture combining Atomic Time, UTC, Cosmic Standard Time, and Interstellar Navigation Time into a unified control lattice for future spacecraft guidance. Modern warp-drive research from Alcubierre, </w:t>
      </w:r>
      <w:proofErr w:type="spellStart"/>
      <w:r w:rsidRPr="00157010">
        <w:rPr>
          <w:rFonts w:ascii="Times New Roman" w:eastAsia="Times New Roman" w:hAnsi="Times New Roman" w:cs="Times New Roman"/>
          <w:sz w:val="24"/>
          <w:szCs w:val="24"/>
        </w:rPr>
        <w:t>Natário</w:t>
      </w:r>
      <w:proofErr w:type="spellEnd"/>
      <w:r w:rsidRPr="00157010">
        <w:rPr>
          <w:rFonts w:ascii="Times New Roman" w:eastAsia="Times New Roman" w:hAnsi="Times New Roman" w:cs="Times New Roman"/>
          <w:sz w:val="24"/>
          <w:szCs w:val="24"/>
        </w:rPr>
        <w:t>, Bobrick, Martire, White, Lentz, and contemporary positive-energy warp studies are analyzed and compared with CST navigation concepts.</w:t>
      </w:r>
    </w:p>
    <w:p w14:paraId="60C864EE"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3CDC383A"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13CDDAC" w14:textId="02D4E830"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lastRenderedPageBreak/>
        <w:t>Einsteinian Relativity and Warp Geometry</w:t>
      </w:r>
    </w:p>
    <w:p w14:paraId="771108B7"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theoretical basis of warp-drive physics originates from Einstein’s General Relativity, where spacetime curvature is generated by energy and momentum distributions.</w:t>
      </w:r>
    </w:p>
    <w:p w14:paraId="638850A3"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Einstein’s field equation remains the primary governing relationship:</w:t>
      </w:r>
    </w:p>
    <w:p w14:paraId="7F8A564D"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μν</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Λ</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μν</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8πG</m:t>
              </m:r>
            </m:num>
            <m:den>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4</m:t>
                  </m:r>
                </m:sup>
              </m:sSup>
            </m:den>
          </m:f>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μν</m:t>
              </m:r>
            </m:sub>
          </m:sSub>
        </m:oMath>
      </m:oMathPara>
    </w:p>
    <w:p w14:paraId="791DC70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equation connects spacetime curvature to the stress-energy tensor. In warp-drive theory, the stress-energy tensor becomes the engineering target for shaping spacetime around a spacecraft.</w:t>
      </w:r>
    </w:p>
    <w:p w14:paraId="066A19F7"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Modern warp studies no longer focus solely on impossible “science-fiction bubbles,” but instead investigate:</w:t>
      </w:r>
    </w:p>
    <w:p w14:paraId="2F72BCEC"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localized curvature manipulation </w:t>
      </w:r>
    </w:p>
    <w:p w14:paraId="5FC6794E"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positive-energy geometries </w:t>
      </w:r>
    </w:p>
    <w:p w14:paraId="5C28A1CA"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controllable spacetime gradients </w:t>
      </w:r>
    </w:p>
    <w:p w14:paraId="1DD3B746"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reduced </w:t>
      </w:r>
      <w:proofErr w:type="gramStart"/>
      <w:r w:rsidRPr="00157010">
        <w:rPr>
          <w:rFonts w:ascii="Times New Roman" w:eastAsia="Times New Roman" w:hAnsi="Times New Roman" w:cs="Times New Roman"/>
          <w:sz w:val="24"/>
          <w:szCs w:val="24"/>
        </w:rPr>
        <w:t>exotic-energy</w:t>
      </w:r>
      <w:proofErr w:type="gramEnd"/>
      <w:r w:rsidRPr="00157010">
        <w:rPr>
          <w:rFonts w:ascii="Times New Roman" w:eastAsia="Times New Roman" w:hAnsi="Times New Roman" w:cs="Times New Roman"/>
          <w:sz w:val="24"/>
          <w:szCs w:val="24"/>
        </w:rPr>
        <w:t xml:space="preserve"> requirements </w:t>
      </w:r>
    </w:p>
    <w:p w14:paraId="5E2AB9B1"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plasma-generated stress distributions </w:t>
      </w:r>
    </w:p>
    <w:p w14:paraId="28229D29" w14:textId="77777777" w:rsidR="00157010" w:rsidRPr="00157010" w:rsidRDefault="00157010" w:rsidP="0015701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vacuum-energy perturbations </w:t>
      </w:r>
    </w:p>
    <w:p w14:paraId="52F3E9E9"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Recent theoretical studies suggest that modified warp geometries may dramatically reduce the magnitude of negative energy previously required by Alcubierre’s original model. </w:t>
      </w:r>
    </w:p>
    <w:p w14:paraId="20EFCB00" w14:textId="0FB724E4"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Alcubierre Warp Metric and Modern Revisions</w:t>
      </w:r>
    </w:p>
    <w:p w14:paraId="2A4B91A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Miguel Alcubierre’s 1994 warp metric proposed a mechanism where spacetime contracts in front of a spacecraft and expands behind it.</w:t>
      </w:r>
    </w:p>
    <w:p w14:paraId="301F4E32"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core idea is represented through a spacetime shift-vector formulation:</w:t>
      </w:r>
    </w:p>
    <w:p w14:paraId="3C07932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+[dx-</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f(</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)dt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z</m:t>
              </m:r>
            </m:e>
            <m:sup>
              <m:r>
                <w:rPr>
                  <w:rFonts w:ascii="Cambria Math" w:eastAsia="Times New Roman" w:hAnsi="Cambria Math" w:cs="Times New Roman"/>
                  <w:sz w:val="24"/>
                  <w:szCs w:val="24"/>
                </w:rPr>
                <m:t>2</m:t>
              </m:r>
            </m:sup>
          </m:sSup>
        </m:oMath>
      </m:oMathPara>
    </w:p>
    <w:p w14:paraId="09A61C5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Where:</w:t>
      </w:r>
    </w:p>
    <w:p w14:paraId="4499D3CD" w14:textId="77777777" w:rsidR="00157010" w:rsidRPr="00157010" w:rsidRDefault="00157010" w:rsidP="00157010">
      <w:pPr>
        <w:numPr>
          <w:ilvl w:val="0"/>
          <w:numId w:val="11"/>
        </w:numPr>
        <w:spacing w:before="100" w:beforeAutospacing="1" w:after="100" w:afterAutospacing="1" w:line="240"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s</m:t>
            </m:r>
          </m:sub>
        </m:sSub>
      </m:oMath>
      <w:r w:rsidRPr="00157010">
        <w:rPr>
          <w:rFonts w:ascii="Times New Roman" w:eastAsia="Times New Roman" w:hAnsi="Times New Roman" w:cs="Times New Roman"/>
          <w:sz w:val="24"/>
          <w:szCs w:val="24"/>
        </w:rPr>
        <w:t xml:space="preserve">= warp bubble velocity </w:t>
      </w:r>
    </w:p>
    <w:p w14:paraId="5C5F4107" w14:textId="77777777" w:rsidR="00157010" w:rsidRPr="00157010" w:rsidRDefault="00157010" w:rsidP="00157010">
      <w:pPr>
        <w:numPr>
          <w:ilvl w:val="0"/>
          <w:numId w:val="11"/>
        </w:numPr>
        <w:spacing w:before="100" w:beforeAutospacing="1" w:after="100" w:afterAutospacing="1" w:line="24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s</m:t>
            </m:r>
          </m:sub>
        </m:sSub>
        <m:r>
          <w:rPr>
            <w:rFonts w:ascii="Cambria Math" w:eastAsia="Times New Roman" w:hAnsi="Cambria Math" w:cs="Times New Roman"/>
            <w:sz w:val="24"/>
            <w:szCs w:val="24"/>
          </w:rPr>
          <m:t>)</m:t>
        </m:r>
      </m:oMath>
      <w:r w:rsidRPr="00157010">
        <w:rPr>
          <w:rFonts w:ascii="Times New Roman" w:eastAsia="Times New Roman" w:hAnsi="Times New Roman" w:cs="Times New Roman"/>
          <w:sz w:val="24"/>
          <w:szCs w:val="24"/>
        </w:rPr>
        <w:t xml:space="preserve">= spatial shaping function </w:t>
      </w:r>
    </w:p>
    <w:p w14:paraId="4D4E966A" w14:textId="77777777" w:rsidR="00157010" w:rsidRPr="00157010" w:rsidRDefault="00157010" w:rsidP="00157010">
      <w:pPr>
        <w:numPr>
          <w:ilvl w:val="0"/>
          <w:numId w:val="11"/>
        </w:numPr>
        <w:spacing w:before="100" w:beforeAutospacing="1" w:after="100" w:afterAutospacing="1" w:line="24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oMath>
      <w:r w:rsidRPr="00157010">
        <w:rPr>
          <w:rFonts w:ascii="Times New Roman" w:eastAsia="Times New Roman" w:hAnsi="Times New Roman" w:cs="Times New Roman"/>
          <w:sz w:val="24"/>
          <w:szCs w:val="24"/>
        </w:rPr>
        <w:t xml:space="preserve">= spacetime interval </w:t>
      </w:r>
    </w:p>
    <w:p w14:paraId="5AED376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Modern developments now include:</w:t>
      </w:r>
    </w:p>
    <w:p w14:paraId="59741F0C" w14:textId="77777777" w:rsidR="00157010" w:rsidRPr="00157010" w:rsidRDefault="00157010" w:rsidP="00157010">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157010">
        <w:rPr>
          <w:rFonts w:ascii="Times New Roman" w:eastAsia="Times New Roman" w:hAnsi="Times New Roman" w:cs="Times New Roman"/>
          <w:sz w:val="24"/>
          <w:szCs w:val="24"/>
        </w:rPr>
        <w:t>Natário</w:t>
      </w:r>
      <w:proofErr w:type="spellEnd"/>
      <w:r w:rsidRPr="00157010">
        <w:rPr>
          <w:rFonts w:ascii="Times New Roman" w:eastAsia="Times New Roman" w:hAnsi="Times New Roman" w:cs="Times New Roman"/>
          <w:sz w:val="24"/>
          <w:szCs w:val="24"/>
        </w:rPr>
        <w:t xml:space="preserve"> non-expansion metrics </w:t>
      </w:r>
    </w:p>
    <w:p w14:paraId="56D7F004" w14:textId="77777777" w:rsidR="00157010" w:rsidRPr="00157010" w:rsidRDefault="00157010" w:rsidP="0015701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Lentz positive-energy approaches </w:t>
      </w:r>
    </w:p>
    <w:p w14:paraId="351FAF6E" w14:textId="77777777" w:rsidR="00157010" w:rsidRPr="00157010" w:rsidRDefault="00157010" w:rsidP="0015701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Bobrick-Martire physical warp shell models </w:t>
      </w:r>
    </w:p>
    <w:p w14:paraId="1B99F0F8" w14:textId="77777777" w:rsidR="00157010" w:rsidRPr="00157010" w:rsidRDefault="00157010" w:rsidP="0015701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White’s segmented warp-nacelle configurations </w:t>
      </w:r>
    </w:p>
    <w:p w14:paraId="7BBE240B" w14:textId="77777777" w:rsidR="00157010" w:rsidRPr="00157010" w:rsidRDefault="00157010" w:rsidP="0015701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irrotational warp-flow geometries </w:t>
      </w:r>
    </w:p>
    <w:p w14:paraId="5B860892"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4879C4EA" w14:textId="000F06D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lastRenderedPageBreak/>
        <w:t>These newer models attempt to:</w:t>
      </w:r>
    </w:p>
    <w:p w14:paraId="028415DC" w14:textId="77777777" w:rsidR="00157010" w:rsidRPr="00157010" w:rsidRDefault="00157010" w:rsidP="0015701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reduce negative-energy density </w:t>
      </w:r>
    </w:p>
    <w:p w14:paraId="20474C06" w14:textId="77777777" w:rsidR="00157010" w:rsidRPr="00157010" w:rsidRDefault="00157010" w:rsidP="0015701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stabilize spacetime horizons </w:t>
      </w:r>
    </w:p>
    <w:p w14:paraId="6A3C5760" w14:textId="77777777" w:rsidR="00157010" w:rsidRPr="00157010" w:rsidRDefault="00157010" w:rsidP="0015701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reduce causal instabilities </w:t>
      </w:r>
    </w:p>
    <w:p w14:paraId="27F0DC83" w14:textId="77777777" w:rsidR="00157010" w:rsidRPr="00157010" w:rsidRDefault="00157010" w:rsidP="0015701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distribute stress-energy more efficiently </w:t>
      </w:r>
    </w:p>
    <w:p w14:paraId="5E4850E0" w14:textId="77777777" w:rsidR="00157010" w:rsidRPr="00157010" w:rsidRDefault="00157010" w:rsidP="0015701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create physically interpretable curvature shells </w:t>
      </w:r>
    </w:p>
    <w:p w14:paraId="17537F90"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Recent studies indicate that some geometries may satisfy portions of the weak energy condition locally or globally. </w:t>
      </w:r>
    </w:p>
    <w:p w14:paraId="4554E3B7" w14:textId="47AA73AE"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CST Navigation System Architecture</w:t>
      </w:r>
    </w:p>
    <w:p w14:paraId="64B0C782"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original document correctly identifies timing synchronization as fundamental to warp navigation. </w:t>
      </w:r>
    </w:p>
    <w:p w14:paraId="6CE2B2DF"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updated CST framework expands the system into four synchronized timing domains: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8"/>
        <w:gridCol w:w="3474"/>
      </w:tblGrid>
      <w:tr w:rsidR="00157010" w:rsidRPr="00157010" w14:paraId="798026B2" w14:textId="77777777">
        <w:trPr>
          <w:tblHeader/>
          <w:tblCellSpacing w:w="15" w:type="dxa"/>
        </w:trPr>
        <w:tc>
          <w:tcPr>
            <w:tcW w:w="0" w:type="auto"/>
            <w:vAlign w:val="center"/>
            <w:hideMark/>
          </w:tcPr>
          <w:p w14:paraId="4FF4FD63" w14:textId="77777777" w:rsidR="00157010" w:rsidRPr="00157010" w:rsidRDefault="00157010" w:rsidP="00157010">
            <w:pPr>
              <w:spacing w:after="0" w:line="240" w:lineRule="auto"/>
              <w:jc w:val="center"/>
              <w:rPr>
                <w:rFonts w:ascii="Times New Roman" w:eastAsia="Times New Roman" w:hAnsi="Times New Roman" w:cs="Times New Roman"/>
                <w:b/>
                <w:bCs/>
                <w:sz w:val="24"/>
                <w:szCs w:val="24"/>
              </w:rPr>
            </w:pPr>
            <w:r w:rsidRPr="00157010">
              <w:rPr>
                <w:rFonts w:ascii="Times New Roman" w:eastAsia="Times New Roman" w:hAnsi="Times New Roman" w:cs="Times New Roman"/>
                <w:b/>
                <w:bCs/>
                <w:sz w:val="24"/>
                <w:szCs w:val="24"/>
              </w:rPr>
              <w:t>Clock System</w:t>
            </w:r>
          </w:p>
        </w:tc>
        <w:tc>
          <w:tcPr>
            <w:tcW w:w="0" w:type="auto"/>
            <w:vAlign w:val="center"/>
            <w:hideMark/>
          </w:tcPr>
          <w:p w14:paraId="04A999DB" w14:textId="77777777" w:rsidR="00157010" w:rsidRPr="00157010" w:rsidRDefault="00157010" w:rsidP="00157010">
            <w:pPr>
              <w:spacing w:after="0" w:line="240" w:lineRule="auto"/>
              <w:jc w:val="center"/>
              <w:rPr>
                <w:rFonts w:ascii="Times New Roman" w:eastAsia="Times New Roman" w:hAnsi="Times New Roman" w:cs="Times New Roman"/>
                <w:b/>
                <w:bCs/>
                <w:sz w:val="24"/>
                <w:szCs w:val="24"/>
              </w:rPr>
            </w:pPr>
            <w:r w:rsidRPr="00157010">
              <w:rPr>
                <w:rFonts w:ascii="Times New Roman" w:eastAsia="Times New Roman" w:hAnsi="Times New Roman" w:cs="Times New Roman"/>
                <w:b/>
                <w:bCs/>
                <w:sz w:val="24"/>
                <w:szCs w:val="24"/>
              </w:rPr>
              <w:t>Purpose</w:t>
            </w:r>
          </w:p>
        </w:tc>
      </w:tr>
      <w:tr w:rsidR="00157010" w:rsidRPr="00157010" w14:paraId="58D397EA" w14:textId="77777777">
        <w:trPr>
          <w:tblCellSpacing w:w="15" w:type="dxa"/>
        </w:trPr>
        <w:tc>
          <w:tcPr>
            <w:tcW w:w="0" w:type="auto"/>
            <w:vAlign w:val="center"/>
            <w:hideMark/>
          </w:tcPr>
          <w:p w14:paraId="44596716"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Atomic Clock</w:t>
            </w:r>
          </w:p>
        </w:tc>
        <w:tc>
          <w:tcPr>
            <w:tcW w:w="0" w:type="auto"/>
            <w:vAlign w:val="center"/>
            <w:hideMark/>
          </w:tcPr>
          <w:p w14:paraId="34D48A8A"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Local precision timing</w:t>
            </w:r>
          </w:p>
        </w:tc>
      </w:tr>
      <w:tr w:rsidR="00157010" w:rsidRPr="00157010" w14:paraId="187D9499" w14:textId="77777777">
        <w:trPr>
          <w:tblCellSpacing w:w="15" w:type="dxa"/>
        </w:trPr>
        <w:tc>
          <w:tcPr>
            <w:tcW w:w="0" w:type="auto"/>
            <w:vAlign w:val="center"/>
            <w:hideMark/>
          </w:tcPr>
          <w:p w14:paraId="4877C64C"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UTC</w:t>
            </w:r>
          </w:p>
        </w:tc>
        <w:tc>
          <w:tcPr>
            <w:tcW w:w="0" w:type="auto"/>
            <w:vAlign w:val="center"/>
            <w:hideMark/>
          </w:tcPr>
          <w:p w14:paraId="35FF26BB"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Earth reference synchronization</w:t>
            </w:r>
          </w:p>
        </w:tc>
      </w:tr>
      <w:tr w:rsidR="00157010" w:rsidRPr="00157010" w14:paraId="2E6D0C57" w14:textId="77777777">
        <w:trPr>
          <w:tblCellSpacing w:w="15" w:type="dxa"/>
        </w:trPr>
        <w:tc>
          <w:tcPr>
            <w:tcW w:w="0" w:type="auto"/>
            <w:vAlign w:val="center"/>
            <w:hideMark/>
          </w:tcPr>
          <w:p w14:paraId="24BA820F"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CST</w:t>
            </w:r>
          </w:p>
        </w:tc>
        <w:tc>
          <w:tcPr>
            <w:tcW w:w="0" w:type="auto"/>
            <w:vAlign w:val="center"/>
            <w:hideMark/>
          </w:tcPr>
          <w:p w14:paraId="221C3013"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Internal </w:t>
            </w:r>
            <w:proofErr w:type="gramStart"/>
            <w:r w:rsidRPr="00157010">
              <w:rPr>
                <w:rFonts w:ascii="Times New Roman" w:eastAsia="Times New Roman" w:hAnsi="Times New Roman" w:cs="Times New Roman"/>
                <w:sz w:val="24"/>
                <w:szCs w:val="24"/>
              </w:rPr>
              <w:t>warp</w:t>
            </w:r>
            <w:proofErr w:type="gramEnd"/>
            <w:r w:rsidRPr="00157010">
              <w:rPr>
                <w:rFonts w:ascii="Times New Roman" w:eastAsia="Times New Roman" w:hAnsi="Times New Roman" w:cs="Times New Roman"/>
                <w:sz w:val="24"/>
                <w:szCs w:val="24"/>
              </w:rPr>
              <w:t>-field synchronization</w:t>
            </w:r>
          </w:p>
        </w:tc>
      </w:tr>
      <w:tr w:rsidR="00157010" w:rsidRPr="00157010" w14:paraId="31EBACAF" w14:textId="77777777">
        <w:trPr>
          <w:tblCellSpacing w:w="15" w:type="dxa"/>
        </w:trPr>
        <w:tc>
          <w:tcPr>
            <w:tcW w:w="0" w:type="auto"/>
            <w:vAlign w:val="center"/>
            <w:hideMark/>
          </w:tcPr>
          <w:p w14:paraId="287F2B5E"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Interstellar Clock</w:t>
            </w:r>
          </w:p>
        </w:tc>
        <w:tc>
          <w:tcPr>
            <w:tcW w:w="0" w:type="auto"/>
            <w:vAlign w:val="center"/>
            <w:hideMark/>
          </w:tcPr>
          <w:p w14:paraId="31AF6CBF" w14:textId="77777777" w:rsidR="00157010" w:rsidRPr="00157010" w:rsidRDefault="00157010" w:rsidP="00157010">
            <w:pPr>
              <w:spacing w:after="0"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Deep-space navigation alignment</w:t>
            </w:r>
          </w:p>
        </w:tc>
      </w:tr>
    </w:tbl>
    <w:p w14:paraId="394C927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CST model treats navigation as a timing-geometry control problem.</w:t>
      </w:r>
    </w:p>
    <w:p w14:paraId="499C81E1"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Warp-field stability depends on minimizing synchronization error:</w:t>
      </w:r>
    </w:p>
    <w:p w14:paraId="142F5E9F"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Δ</m:t>
          </m:r>
          <m:r>
            <w:rPr>
              <w:rFonts w:ascii="Cambria Math" w:eastAsia="Times New Roman" w:hAnsi="Cambria Math" w:cs="Times New Roman"/>
              <w:sz w:val="24"/>
              <w:szCs w:val="24"/>
            </w:rPr>
            <m:t>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ship</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reference</m:t>
              </m:r>
            </m:sub>
          </m:sSub>
        </m:oMath>
      </m:oMathPara>
    </w:p>
    <w:p w14:paraId="784DB0FB"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generalized CST control objective becomes:</w:t>
      </w:r>
    </w:p>
    <w:p w14:paraId="578B885D"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J=</m:t>
          </m:r>
          <m:nary>
            <m:naryPr>
              <m:chr m:val="∑"/>
              <m:limLoc m:val="subSup"/>
              <m:grow m:val="1"/>
              <m:supHide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i</m:t>
              </m:r>
            </m:sub>
            <m:sup/>
            <m:e>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m:t>
                  </m:r>
                </m:sub>
              </m:sSub>
            </m:e>
          </m:nary>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Ci</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ref</m:t>
              </m:r>
            </m:sub>
          </m:sSub>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oMath>
      </m:oMathPara>
    </w:p>
    <w:p w14:paraId="1EFB494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This optimization equation minimizes timing </w:t>
      </w:r>
      <w:proofErr w:type="gramStart"/>
      <w:r w:rsidRPr="00157010">
        <w:rPr>
          <w:rFonts w:ascii="Times New Roman" w:eastAsia="Times New Roman" w:hAnsi="Times New Roman" w:cs="Times New Roman"/>
          <w:sz w:val="24"/>
          <w:szCs w:val="24"/>
        </w:rPr>
        <w:t>drift</w:t>
      </w:r>
      <w:proofErr w:type="gramEnd"/>
      <w:r w:rsidRPr="00157010">
        <w:rPr>
          <w:rFonts w:ascii="Times New Roman" w:eastAsia="Times New Roman" w:hAnsi="Times New Roman" w:cs="Times New Roman"/>
          <w:sz w:val="24"/>
          <w:szCs w:val="24"/>
        </w:rPr>
        <w:t xml:space="preserve"> across all synchronized clock systems.</w:t>
      </w:r>
    </w:p>
    <w:p w14:paraId="2937EFE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CST navigation framework therefore acts as:</w:t>
      </w:r>
    </w:p>
    <w:p w14:paraId="61FC58F2" w14:textId="77777777" w:rsidR="00157010" w:rsidRPr="00157010" w:rsidRDefault="00157010" w:rsidP="0015701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relativistic timing controller </w:t>
      </w:r>
    </w:p>
    <w:p w14:paraId="28ED33CD" w14:textId="77777777" w:rsidR="00157010" w:rsidRPr="00157010" w:rsidRDefault="00157010" w:rsidP="0015701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gravitational correction network </w:t>
      </w:r>
    </w:p>
    <w:p w14:paraId="2EE90AED" w14:textId="77777777" w:rsidR="00157010" w:rsidRPr="00157010" w:rsidRDefault="00157010" w:rsidP="0015701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harmonic synchronization layer </w:t>
      </w:r>
    </w:p>
    <w:p w14:paraId="3D54FC91" w14:textId="77777777" w:rsidR="00157010" w:rsidRPr="00157010" w:rsidRDefault="00157010" w:rsidP="0015701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plasma pulse coordination system </w:t>
      </w:r>
    </w:p>
    <w:p w14:paraId="006A11AF" w14:textId="77777777" w:rsidR="00157010" w:rsidRPr="00157010" w:rsidRDefault="00157010" w:rsidP="0015701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spacetime-field calibration architecture </w:t>
      </w:r>
    </w:p>
    <w:p w14:paraId="73E7AAD5"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3F0E7FD"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F2FA22B" w14:textId="1991A844"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lastRenderedPageBreak/>
        <w:t>Relativistic Timing and Proper Time</w:t>
      </w:r>
    </w:p>
    <w:p w14:paraId="316D018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original document referenced Lorentz transformations correctly but contained formatting inconsistencies. </w:t>
      </w:r>
    </w:p>
    <w:p w14:paraId="3DE08B6F"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corrected Lorentz factor is:</w:t>
      </w:r>
    </w:p>
    <w:p w14:paraId="6A51F0A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γ=</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ad>
                <m:radPr>
                  <m:degHide m:val="1"/>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1-</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e>
              </m:rad>
            </m:den>
          </m:f>
        </m:oMath>
      </m:oMathPara>
    </w:p>
    <w:p w14:paraId="648ADE09"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Time dilation:</w:t>
      </w:r>
    </w:p>
    <w:p w14:paraId="3E74DA2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t</m:t>
              </m:r>
            </m:e>
            <m:sup>
              <m:r>
                <m:rPr>
                  <m:sty m:val="p"/>
                </m:rPr>
                <w:rPr>
                  <w:rFonts w:ascii="Cambria Math" w:eastAsia="Times New Roman" w:hAnsi="Cambria Math" w:cs="Times New Roman"/>
                  <w:sz w:val="24"/>
                  <w:szCs w:val="24"/>
                </w:rPr>
                <m:t>'</m:t>
              </m:r>
            </m:sup>
          </m:sSup>
          <m:r>
            <w:rPr>
              <w:rFonts w:ascii="Cambria Math" w:eastAsia="Times New Roman" w:hAnsi="Cambria Math" w:cs="Times New Roman"/>
              <w:sz w:val="24"/>
              <w:szCs w:val="24"/>
            </w:rPr>
            <m:t>=γt</m:t>
          </m:r>
        </m:oMath>
      </m:oMathPara>
    </w:p>
    <w:p w14:paraId="23E21709"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Length contraction:</w:t>
      </w:r>
    </w:p>
    <w:p w14:paraId="339A7A54"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L</m:t>
              </m:r>
            </m:e>
            <m:sup>
              <m:r>
                <m:rPr>
                  <m:sty m:val="p"/>
                </m:rP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γ</m:t>
              </m:r>
            </m:den>
          </m:f>
        </m:oMath>
      </m:oMathPara>
    </w:p>
    <w:p w14:paraId="4853BBFC"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General Relativity extends this through proper time:</w:t>
      </w:r>
    </w:p>
    <w:p w14:paraId="4F5F99B9"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τ</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μν</m:t>
              </m:r>
            </m:sub>
          </m:sSub>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μ</m:t>
              </m:r>
            </m:sup>
          </m:sSup>
          <m:r>
            <w:rPr>
              <w:rFonts w:ascii="Cambria Math" w:eastAsia="Times New Roman" w:hAnsi="Cambria Math" w:cs="Times New Roman"/>
              <w:sz w:val="24"/>
              <w:szCs w:val="24"/>
            </w:rPr>
            <m:t>d</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ν</m:t>
              </m:r>
            </m:sup>
          </m:sSup>
        </m:oMath>
      </m:oMathPara>
    </w:p>
    <w:p w14:paraId="21992C9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equation becomes essential in CST synchronization because spacecraft clocks inside strong curvature regions may diverge from Earth reference clocks.</w:t>
      </w:r>
    </w:p>
    <w:p w14:paraId="2D6115A1" w14:textId="409C859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Atomic Clock Synchronization and Quantum Timing</w:t>
      </w:r>
    </w:p>
    <w:p w14:paraId="00878035"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document correctly identified atomic clocks as the foundation for CST synchronization. </w:t>
      </w:r>
    </w:p>
    <w:p w14:paraId="694E2600"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Modern atomic navigation systems now rely on:</w:t>
      </w:r>
    </w:p>
    <w:p w14:paraId="7614C968" w14:textId="77777777" w:rsidR="00157010" w:rsidRPr="00157010" w:rsidRDefault="00157010" w:rsidP="0015701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cesium clocks </w:t>
      </w:r>
    </w:p>
    <w:p w14:paraId="167F864E" w14:textId="77777777" w:rsidR="00157010" w:rsidRPr="00157010" w:rsidRDefault="00157010" w:rsidP="0015701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rubidium clocks </w:t>
      </w:r>
    </w:p>
    <w:p w14:paraId="35502AFD" w14:textId="77777777" w:rsidR="00157010" w:rsidRPr="00157010" w:rsidRDefault="00157010" w:rsidP="0015701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optical lattice clocks </w:t>
      </w:r>
    </w:p>
    <w:p w14:paraId="5F8DFEC7" w14:textId="77777777" w:rsidR="00157010" w:rsidRPr="00157010" w:rsidRDefault="00157010" w:rsidP="0015701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strontium transitions </w:t>
      </w:r>
    </w:p>
    <w:p w14:paraId="65741472" w14:textId="77777777" w:rsidR="00157010" w:rsidRPr="00157010" w:rsidRDefault="00157010" w:rsidP="0015701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quantum entanglement timing research </w:t>
      </w:r>
    </w:p>
    <w:p w14:paraId="314158CB"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Relativistic frequency correction:</w:t>
      </w:r>
    </w:p>
    <w:p w14:paraId="32F8357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Δ</m:t>
              </m:r>
              <m:r>
                <w:rPr>
                  <w:rFonts w:ascii="Cambria Math" w:eastAsia="Times New Roman" w:hAnsi="Cambria Math" w:cs="Times New Roman"/>
                  <w:sz w:val="24"/>
                  <w:szCs w:val="24"/>
                </w:rPr>
                <m:t>f</m:t>
              </m:r>
            </m:num>
            <m:den>
              <m:r>
                <w:rPr>
                  <w:rFonts w:ascii="Cambria Math" w:eastAsia="Times New Roman" w:hAnsi="Cambria Math" w:cs="Times New Roman"/>
                  <w:sz w:val="24"/>
                  <w:szCs w:val="24"/>
                </w:rPr>
                <m:t>f</m:t>
              </m:r>
            </m:den>
          </m:f>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ΔΦ</m:t>
              </m:r>
            </m:num>
            <m:den>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c</m:t>
                  </m:r>
                </m:e>
                <m:sup>
                  <m:r>
                    <w:rPr>
                      <w:rFonts w:ascii="Cambria Math" w:eastAsia="Times New Roman" w:hAnsi="Cambria Math" w:cs="Times New Roman"/>
                      <w:sz w:val="24"/>
                      <w:szCs w:val="24"/>
                    </w:rPr>
                    <m:t>2</m:t>
                  </m:r>
                </m:sup>
              </m:sSup>
            </m:den>
          </m:f>
        </m:oMath>
      </m:oMathPara>
    </w:p>
    <w:p w14:paraId="3D9B7017"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0981D8AE"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34B85B5C"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77290321" w14:textId="55623C83"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lastRenderedPageBreak/>
        <w:t>Where:</w:t>
      </w:r>
    </w:p>
    <w:p w14:paraId="7B69F974" w14:textId="77777777" w:rsidR="00157010" w:rsidRPr="00157010" w:rsidRDefault="00157010" w:rsidP="00157010">
      <w:pPr>
        <w:numPr>
          <w:ilvl w:val="0"/>
          <w:numId w:val="16"/>
        </w:numPr>
        <w:spacing w:before="100" w:beforeAutospacing="1" w:after="100" w:afterAutospacing="1" w:line="240" w:lineRule="auto"/>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ΔΦ</m:t>
        </m:r>
      </m:oMath>
      <w:r w:rsidRPr="00157010">
        <w:rPr>
          <w:rFonts w:ascii="Times New Roman" w:eastAsia="Times New Roman" w:hAnsi="Times New Roman" w:cs="Times New Roman"/>
          <w:sz w:val="24"/>
          <w:szCs w:val="24"/>
        </w:rPr>
        <w:t xml:space="preserve">= gravitational potential difference </w:t>
      </w:r>
    </w:p>
    <w:p w14:paraId="2B93C9B5" w14:textId="77777777" w:rsidR="00157010" w:rsidRPr="00157010" w:rsidRDefault="00157010" w:rsidP="00157010">
      <w:pPr>
        <w:numPr>
          <w:ilvl w:val="0"/>
          <w:numId w:val="16"/>
        </w:numPr>
        <w:spacing w:before="100" w:beforeAutospacing="1" w:after="100" w:afterAutospacing="1" w:line="240" w:lineRule="auto"/>
        <w:rPr>
          <w:rFonts w:ascii="Times New Roman" w:eastAsia="Times New Roman" w:hAnsi="Times New Roman" w:cs="Times New Roman"/>
          <w:sz w:val="24"/>
          <w:szCs w:val="24"/>
        </w:rPr>
      </w:pPr>
      <m:oMath>
        <m:r>
          <w:rPr>
            <w:rFonts w:ascii="Cambria Math" w:eastAsia="Times New Roman" w:hAnsi="Cambria Math" w:cs="Times New Roman"/>
            <w:sz w:val="24"/>
            <w:szCs w:val="24"/>
          </w:rPr>
          <m:t>f</m:t>
        </m:r>
      </m:oMath>
      <w:r w:rsidRPr="00157010">
        <w:rPr>
          <w:rFonts w:ascii="Times New Roman" w:eastAsia="Times New Roman" w:hAnsi="Times New Roman" w:cs="Times New Roman"/>
          <w:sz w:val="24"/>
          <w:szCs w:val="24"/>
        </w:rPr>
        <w:t xml:space="preserve">= clock frequency </w:t>
      </w:r>
    </w:p>
    <w:p w14:paraId="5FADF440"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becomes critical for:</w:t>
      </w:r>
    </w:p>
    <w:p w14:paraId="2F8030BD" w14:textId="77777777" w:rsidR="00157010" w:rsidRPr="00157010" w:rsidRDefault="00157010" w:rsidP="0015701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deep-space navigation </w:t>
      </w:r>
    </w:p>
    <w:p w14:paraId="63DA954E" w14:textId="77777777" w:rsidR="00157010" w:rsidRPr="00157010" w:rsidRDefault="00157010" w:rsidP="0015701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warp transition stability </w:t>
      </w:r>
    </w:p>
    <w:p w14:paraId="539EB896" w14:textId="77777777" w:rsidR="00157010" w:rsidRPr="00157010" w:rsidRDefault="00157010" w:rsidP="0015701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synchronized plasma pulsing </w:t>
      </w:r>
    </w:p>
    <w:p w14:paraId="0B1C37E0" w14:textId="77777777" w:rsidR="00157010" w:rsidRPr="00157010" w:rsidRDefault="00157010" w:rsidP="0015701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interstellar trajectory corrections </w:t>
      </w:r>
    </w:p>
    <w:p w14:paraId="6E74CFC6" w14:textId="2763A9A8"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Hybrid Warp Propulsion System</w:t>
      </w:r>
    </w:p>
    <w:p w14:paraId="1253C07D"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original paper discussed energy density and plasma stabilization. </w:t>
      </w:r>
    </w:p>
    <w:p w14:paraId="320C4212" w14:textId="33910B13"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This updated framework expands propulsion into </w:t>
      </w:r>
      <w:r w:rsidRPr="00157010">
        <w:rPr>
          <w:rFonts w:ascii="Times New Roman" w:eastAsia="Times New Roman" w:hAnsi="Times New Roman" w:cs="Times New Roman"/>
          <w:sz w:val="24"/>
          <w:szCs w:val="24"/>
        </w:rPr>
        <w:t>CST</w:t>
      </w:r>
      <w:r w:rsidRPr="00157010">
        <w:rPr>
          <w:rFonts w:ascii="Times New Roman" w:eastAsia="Times New Roman" w:hAnsi="Times New Roman" w:cs="Times New Roman"/>
          <w:sz w:val="24"/>
          <w:szCs w:val="24"/>
        </w:rPr>
        <w:t>-synchronized hybrid engine architecture.</w:t>
      </w:r>
    </w:p>
    <w:p w14:paraId="1B4F6B0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proposed system combines:</w:t>
      </w:r>
    </w:p>
    <w:p w14:paraId="50C9D81D"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nuclear-electric power </w:t>
      </w:r>
    </w:p>
    <w:p w14:paraId="6A74B1F1"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 propulsion </w:t>
      </w:r>
    </w:p>
    <w:p w14:paraId="19DB497D"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magnetic confinement </w:t>
      </w:r>
    </w:p>
    <w:p w14:paraId="0C9EF936"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pulsed electromagnetic acceleration </w:t>
      </w:r>
    </w:p>
    <w:p w14:paraId="49CB33F4"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synchronized field harmonics </w:t>
      </w:r>
    </w:p>
    <w:p w14:paraId="1394FF58" w14:textId="77777777" w:rsidR="00157010" w:rsidRPr="00157010" w:rsidRDefault="00157010" w:rsidP="0015701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atomic-time pulse control </w:t>
      </w:r>
    </w:p>
    <w:p w14:paraId="5614956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engine architecture includes:</w:t>
      </w:r>
    </w:p>
    <w:p w14:paraId="6EB57B38"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Power generation core </w:t>
      </w:r>
    </w:p>
    <w:p w14:paraId="43450084"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 ionization chamber </w:t>
      </w:r>
    </w:p>
    <w:p w14:paraId="49319474"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Electromagnetic acceleration rings </w:t>
      </w:r>
    </w:p>
    <w:p w14:paraId="0E191171"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Harmonic field stabilizers </w:t>
      </w:r>
    </w:p>
    <w:p w14:paraId="72BED3B8"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CST timing synchronization module </w:t>
      </w:r>
    </w:p>
    <w:p w14:paraId="1DCD387A" w14:textId="77777777" w:rsidR="00157010" w:rsidRPr="00157010" w:rsidRDefault="00157010" w:rsidP="00157010">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Warp-field lattice generators </w:t>
      </w:r>
    </w:p>
    <w:p w14:paraId="64FC52E5"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propulsion concept does not replace conventional thrust completely but instead combines:</w:t>
      </w:r>
    </w:p>
    <w:p w14:paraId="3F050C55" w14:textId="77777777" w:rsidR="00157010" w:rsidRPr="00157010" w:rsidRDefault="00157010" w:rsidP="0015701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 acceleration </w:t>
      </w:r>
    </w:p>
    <w:p w14:paraId="3FB6FD5C" w14:textId="77777777" w:rsidR="00157010" w:rsidRPr="00157010" w:rsidRDefault="00157010" w:rsidP="0015701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relativistic field shaping </w:t>
      </w:r>
    </w:p>
    <w:p w14:paraId="6A227C26" w14:textId="77777777" w:rsidR="00157010" w:rsidRPr="00157010" w:rsidRDefault="00157010" w:rsidP="0015701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synchronized timing control </w:t>
      </w:r>
    </w:p>
    <w:p w14:paraId="4801B3D1" w14:textId="77777777" w:rsidR="00157010" w:rsidRPr="00157010" w:rsidRDefault="00157010" w:rsidP="00157010">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localized curvature manipulation </w:t>
      </w:r>
    </w:p>
    <w:p w14:paraId="2FA975DA"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0BB85BFE" w14:textId="77777777" w:rsid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608FF550" w14:textId="131AF1BB"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lastRenderedPageBreak/>
        <w:t>Harmonic Field Stabilization</w:t>
      </w:r>
    </w:p>
    <w:p w14:paraId="0DC2E611"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 Fourier harmonic analysis in the original document is highly relevant. </w:t>
      </w:r>
    </w:p>
    <w:p w14:paraId="0900D227"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Corrected Fourier series representation:</w:t>
      </w:r>
    </w:p>
    <w:p w14:paraId="7F8AC994"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f(t)=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nary>
            <m:naryPr>
              <m:chr m:val="∑"/>
              <m:limLoc m:val="subSup"/>
              <m:grow m:val="1"/>
              <m:ctrlPr>
                <w:rPr>
                  <w:rFonts w:ascii="Cambria Math" w:eastAsia="Times New Roman" w:hAnsi="Cambria Math" w:cs="Times New Roman"/>
                  <w:sz w:val="24"/>
                  <w:szCs w:val="24"/>
                </w:rPr>
              </m:ctrlPr>
            </m:naryPr>
            <m:sub>
              <m:r>
                <w:rPr>
                  <w:rFonts w:ascii="Cambria Math" w:eastAsia="Times New Roman" w:hAnsi="Cambria Math" w:cs="Times New Roman"/>
                  <w:sz w:val="24"/>
                  <w:szCs w:val="24"/>
                </w:rPr>
                <m:t>n=1</m:t>
              </m:r>
            </m:sub>
            <m:sup>
              <m:r>
                <m:rPr>
                  <m:sty m:val="p"/>
                </m:rPr>
                <w:rPr>
                  <w:rFonts w:ascii="Cambria Math" w:eastAsia="Times New Roman" w:hAnsi="Cambria Math" w:cs="Times New Roman"/>
                  <w:sz w:val="24"/>
                  <w:szCs w:val="24"/>
                </w:rPr>
                <m:t>∞</m:t>
              </m:r>
            </m:sup>
            <m:e>
              <m:r>
                <w:rPr>
                  <w:rFonts w:ascii="Cambria Math" w:eastAsia="Times New Roman" w:hAnsi="Cambria Math" w:cs="Times New Roman"/>
                  <w:sz w:val="24"/>
                  <w:szCs w:val="24"/>
                </w:rPr>
                <m:t>[</m:t>
              </m:r>
            </m:e>
          </m:nary>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n</m:t>
              </m:r>
            </m:sub>
          </m:sSub>
          <m:r>
            <m:rPr>
              <m:sty m:val="p"/>
            </m:rPr>
            <w:rPr>
              <w:rFonts w:ascii="Cambria Math" w:eastAsia="Times New Roman" w:hAnsi="Cambria Math" w:cs="Times New Roman"/>
              <w:sz w:val="24"/>
              <w:szCs w:val="24"/>
            </w:rPr>
            <m:t>cos</m:t>
          </m:r>
          <m:r>
            <w:rPr>
              <w:rFonts w:ascii="Cambria Math" w:eastAsia="Times New Roman" w:hAnsi="Cambria Math" w:cs="Times New Roman"/>
              <w:sz w:val="24"/>
              <w:szCs w:val="24"/>
            </w:rPr>
            <m:t>⁡(n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b</m:t>
              </m:r>
            </m:e>
            <m:sub>
              <m:r>
                <w:rPr>
                  <w:rFonts w:ascii="Cambria Math" w:eastAsia="Times New Roman" w:hAnsi="Cambria Math" w:cs="Times New Roman"/>
                  <w:sz w:val="24"/>
                  <w:szCs w:val="24"/>
                </w:rPr>
                <m:t>n</m:t>
              </m:r>
            </m:sub>
          </m:sSub>
          <m:r>
            <m:rPr>
              <m:sty m:val="p"/>
            </m:rPr>
            <w:rPr>
              <w:rFonts w:ascii="Cambria Math" w:eastAsia="Times New Roman" w:hAnsi="Cambria Math" w:cs="Times New Roman"/>
              <w:sz w:val="24"/>
              <w:szCs w:val="24"/>
            </w:rPr>
            <m:t>sin</m:t>
          </m:r>
          <m:r>
            <w:rPr>
              <w:rFonts w:ascii="Cambria Math" w:eastAsia="Times New Roman" w:hAnsi="Cambria Math" w:cs="Times New Roman"/>
              <w:sz w:val="24"/>
              <w:szCs w:val="24"/>
            </w:rPr>
            <m:t>⁡(n</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t)]</m:t>
          </m:r>
        </m:oMath>
      </m:oMathPara>
    </w:p>
    <w:p w14:paraId="0A642170"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In CST propulsion systems, Fourier harmonics may theoretically stabilize:</w:t>
      </w:r>
    </w:p>
    <w:p w14:paraId="3E63841A" w14:textId="77777777" w:rsidR="00157010" w:rsidRPr="00157010" w:rsidRDefault="00157010" w:rsidP="0015701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 oscillations </w:t>
      </w:r>
    </w:p>
    <w:p w14:paraId="0ACFBF0D" w14:textId="77777777" w:rsidR="00157010" w:rsidRPr="00157010" w:rsidRDefault="00157010" w:rsidP="0015701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electromagnetic resonance </w:t>
      </w:r>
    </w:p>
    <w:p w14:paraId="5EE114E3" w14:textId="77777777" w:rsidR="00157010" w:rsidRPr="00157010" w:rsidRDefault="00157010" w:rsidP="0015701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warp-shell harmonics </w:t>
      </w:r>
    </w:p>
    <w:p w14:paraId="7BEB2705" w14:textId="77777777" w:rsidR="00157010" w:rsidRPr="00157010" w:rsidRDefault="00157010" w:rsidP="0015701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thermal fluctuations </w:t>
      </w:r>
    </w:p>
    <w:p w14:paraId="0744F3DD" w14:textId="77777777" w:rsidR="00157010" w:rsidRPr="00157010" w:rsidRDefault="00157010" w:rsidP="00157010">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magnetic-nozzle resonance </w:t>
      </w:r>
    </w:p>
    <w:p w14:paraId="7B4C214D"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This creates a possible “harmonic equilibrium shell” around the spacecraft.</w:t>
      </w:r>
    </w:p>
    <w:p w14:paraId="36B41C84" w14:textId="24AC53B1"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Energy Density and Field Stability</w:t>
      </w:r>
    </w:p>
    <w:p w14:paraId="36B6C68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Electromagnetic field energy density remains fundamental:</w:t>
      </w:r>
    </w:p>
    <w:p w14:paraId="1CEAE2F7"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Electric field density:</w:t>
      </w:r>
    </w:p>
    <w:p w14:paraId="7A11E0DD"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E</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ϵ</m:t>
              </m:r>
            </m:e>
            <m:sub>
              <m: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E</m:t>
              </m:r>
            </m:e>
            <m:sup>
              <m:r>
                <w:rPr>
                  <w:rFonts w:ascii="Cambria Math" w:eastAsia="Times New Roman" w:hAnsi="Cambria Math" w:cs="Times New Roman"/>
                  <w:sz w:val="24"/>
                  <w:szCs w:val="24"/>
                </w:rPr>
                <m:t>2</m:t>
              </m:r>
            </m:sup>
          </m:sSup>
        </m:oMath>
      </m:oMathPara>
    </w:p>
    <w:p w14:paraId="1AEC74E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Magnetic field density:</w:t>
      </w:r>
    </w:p>
    <w:p w14:paraId="7C4D63B5"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B</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2</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μ</m:t>
                  </m:r>
                </m:e>
                <m:sub>
                  <m:r>
                    <w:rPr>
                      <w:rFonts w:ascii="Cambria Math" w:eastAsia="Times New Roman" w:hAnsi="Cambria Math" w:cs="Times New Roman"/>
                      <w:sz w:val="24"/>
                      <w:szCs w:val="24"/>
                    </w:rPr>
                    <m:t>0</m:t>
                  </m:r>
                </m:sub>
              </m:sSub>
            </m:den>
          </m:f>
        </m:oMath>
      </m:oMathPara>
    </w:p>
    <w:p w14:paraId="3FF713E2"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These equations define:</w:t>
      </w:r>
    </w:p>
    <w:p w14:paraId="04C2AC22" w14:textId="77777777" w:rsidR="00157010" w:rsidRPr="00157010" w:rsidRDefault="00157010" w:rsidP="0015701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plasma containment thresholds </w:t>
      </w:r>
    </w:p>
    <w:p w14:paraId="3B523E76" w14:textId="77777777" w:rsidR="00157010" w:rsidRPr="00157010" w:rsidRDefault="00157010" w:rsidP="0015701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magnetic compression stability </w:t>
      </w:r>
    </w:p>
    <w:p w14:paraId="5D3311DA" w14:textId="77777777" w:rsidR="00157010" w:rsidRPr="00157010" w:rsidRDefault="00157010" w:rsidP="0015701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energy shell equilibrium </w:t>
      </w:r>
    </w:p>
    <w:p w14:paraId="0B40C1FF" w14:textId="77777777" w:rsidR="00157010" w:rsidRPr="00157010" w:rsidRDefault="00157010" w:rsidP="00157010">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thermal stress boundaries </w:t>
      </w:r>
    </w:p>
    <w:p w14:paraId="315E15A7" w14:textId="625B413C"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Positive-Energy Warp Research</w:t>
      </w:r>
    </w:p>
    <w:p w14:paraId="017178F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Recent theoretical studies suggest that carefully designed warp geometries may reduce or redistribute negative-energy requirements rather than eliminate them entirely. </w:t>
      </w:r>
    </w:p>
    <w:p w14:paraId="4B9AF51B"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0098C291" w14:textId="77777777" w:rsid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p>
    <w:p w14:paraId="793A78A3" w14:textId="12B9E52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lastRenderedPageBreak/>
        <w:t>Important developments include:</w:t>
      </w:r>
    </w:p>
    <w:p w14:paraId="53330E69" w14:textId="77777777" w:rsidR="00157010" w:rsidRPr="00157010" w:rsidRDefault="00157010" w:rsidP="0015701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irrotational warp geometries </w:t>
      </w:r>
    </w:p>
    <w:p w14:paraId="68BCA7A3" w14:textId="77777777" w:rsidR="00157010" w:rsidRPr="00157010" w:rsidRDefault="00157010" w:rsidP="0015701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scalar-potential warp flows </w:t>
      </w:r>
    </w:p>
    <w:p w14:paraId="2877FBB9" w14:textId="77777777" w:rsidR="00157010" w:rsidRPr="00157010" w:rsidRDefault="00157010" w:rsidP="0015701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segmented warp nacelles </w:t>
      </w:r>
    </w:p>
    <w:p w14:paraId="1E00A414" w14:textId="77777777" w:rsidR="00157010" w:rsidRPr="00157010" w:rsidRDefault="00157010" w:rsidP="00157010">
      <w:pPr>
        <w:numPr>
          <w:ilvl w:val="0"/>
          <w:numId w:val="23"/>
        </w:numPr>
        <w:spacing w:before="100" w:beforeAutospacing="1" w:after="100" w:afterAutospacing="1" w:line="240" w:lineRule="auto"/>
        <w:rPr>
          <w:rFonts w:ascii="Times New Roman" w:eastAsia="Times New Roman" w:hAnsi="Times New Roman" w:cs="Times New Roman"/>
          <w:sz w:val="24"/>
          <w:szCs w:val="24"/>
        </w:rPr>
      </w:pPr>
      <w:proofErr w:type="gramStart"/>
      <w:r w:rsidRPr="00157010">
        <w:rPr>
          <w:rFonts w:ascii="Times New Roman" w:eastAsia="Times New Roman" w:hAnsi="Times New Roman" w:cs="Times New Roman"/>
          <w:sz w:val="24"/>
          <w:szCs w:val="24"/>
        </w:rPr>
        <w:t>positive-energy</w:t>
      </w:r>
      <w:proofErr w:type="gramEnd"/>
      <w:r w:rsidRPr="00157010">
        <w:rPr>
          <w:rFonts w:ascii="Times New Roman" w:eastAsia="Times New Roman" w:hAnsi="Times New Roman" w:cs="Times New Roman"/>
          <w:sz w:val="24"/>
          <w:szCs w:val="24"/>
        </w:rPr>
        <w:t xml:space="preserve"> </w:t>
      </w:r>
      <w:proofErr w:type="spellStart"/>
      <w:r w:rsidRPr="00157010">
        <w:rPr>
          <w:rFonts w:ascii="Times New Roman" w:eastAsia="Times New Roman" w:hAnsi="Times New Roman" w:cs="Times New Roman"/>
          <w:sz w:val="24"/>
          <w:szCs w:val="24"/>
        </w:rPr>
        <w:t>solitonic</w:t>
      </w:r>
      <w:proofErr w:type="spellEnd"/>
      <w:r w:rsidRPr="00157010">
        <w:rPr>
          <w:rFonts w:ascii="Times New Roman" w:eastAsia="Times New Roman" w:hAnsi="Times New Roman" w:cs="Times New Roman"/>
          <w:sz w:val="24"/>
          <w:szCs w:val="24"/>
        </w:rPr>
        <w:t xml:space="preserve"> structures </w:t>
      </w:r>
    </w:p>
    <w:p w14:paraId="19A34BC4" w14:textId="77777777" w:rsidR="00157010" w:rsidRPr="00157010" w:rsidRDefault="00157010" w:rsidP="00157010">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physical warp-shell interpretations </w:t>
      </w:r>
    </w:p>
    <w:p w14:paraId="289E5008"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However, enormous engineering barriers remain:</w:t>
      </w:r>
    </w:p>
    <w:p w14:paraId="5C7114BA"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extreme energy requirements </w:t>
      </w:r>
    </w:p>
    <w:p w14:paraId="79350AE5"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vacuum instability </w:t>
      </w:r>
    </w:p>
    <w:p w14:paraId="02EFDF8B"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horizon formation </w:t>
      </w:r>
    </w:p>
    <w:p w14:paraId="475F7DC9"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radiation buildup </w:t>
      </w:r>
    </w:p>
    <w:p w14:paraId="35695AE5"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causality constraints </w:t>
      </w:r>
    </w:p>
    <w:p w14:paraId="25D0C9A0" w14:textId="77777777" w:rsidR="00157010" w:rsidRPr="00157010" w:rsidRDefault="00157010" w:rsidP="00157010">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quantum gravity limitations </w:t>
      </w:r>
    </w:p>
    <w:p w14:paraId="55D3CF13"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No experimental warp drive currently exists.</w:t>
      </w:r>
    </w:p>
    <w:p w14:paraId="7752A83D" w14:textId="605C1E8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CST Navigation as a Future Deep-Space Framework</w:t>
      </w:r>
    </w:p>
    <w:p w14:paraId="390D15A9"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CST system may serve future spacecraft as:</w:t>
      </w:r>
    </w:p>
    <w:p w14:paraId="4604C4A5" w14:textId="77777777" w:rsidR="00157010" w:rsidRPr="00157010" w:rsidRDefault="00157010" w:rsidP="0015701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relativistic navigation architecture </w:t>
      </w:r>
    </w:p>
    <w:p w14:paraId="3FF8B606" w14:textId="77777777" w:rsidR="00157010" w:rsidRPr="00157010" w:rsidRDefault="00157010" w:rsidP="0015701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gravitational timing network </w:t>
      </w:r>
    </w:p>
    <w:p w14:paraId="436BD3FA" w14:textId="77777777" w:rsidR="00157010" w:rsidRPr="00157010" w:rsidRDefault="00157010" w:rsidP="0015701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an interstellar synchronization protocol </w:t>
      </w:r>
    </w:p>
    <w:p w14:paraId="1AB008D2" w14:textId="77777777" w:rsidR="00157010" w:rsidRPr="00157010" w:rsidRDefault="00157010" w:rsidP="0015701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hybrid plasma-field controller </w:t>
      </w:r>
    </w:p>
    <w:p w14:paraId="6E4F2273" w14:textId="77777777" w:rsidR="00157010" w:rsidRPr="00157010" w:rsidRDefault="00157010" w:rsidP="00157010">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multi-clock spacetime reference system </w:t>
      </w:r>
    </w:p>
    <w:p w14:paraId="6CE97E8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CST framework’s strongest scientific potential lies not necessarily in faster-than-light travel itself, but in:</w:t>
      </w:r>
    </w:p>
    <w:p w14:paraId="54A7D87C" w14:textId="77777777" w:rsidR="00157010" w:rsidRPr="00157010" w:rsidRDefault="00157010" w:rsidP="0015701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relativistic synchronization </w:t>
      </w:r>
    </w:p>
    <w:p w14:paraId="4628E5FD" w14:textId="77777777" w:rsidR="00157010" w:rsidRPr="00157010" w:rsidRDefault="00157010" w:rsidP="0015701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deep-space timing correction </w:t>
      </w:r>
    </w:p>
    <w:p w14:paraId="2A0BE5B1" w14:textId="77777777" w:rsidR="00157010" w:rsidRPr="00157010" w:rsidRDefault="00157010" w:rsidP="0015701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autonomous interstellar navigation </w:t>
      </w:r>
    </w:p>
    <w:p w14:paraId="2577756B" w14:textId="77777777" w:rsidR="00157010" w:rsidRPr="00157010" w:rsidRDefault="00157010" w:rsidP="0015701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synchronized propulsion control </w:t>
      </w:r>
    </w:p>
    <w:p w14:paraId="72E05399" w14:textId="77777777" w:rsidR="00157010" w:rsidRPr="00157010" w:rsidRDefault="00157010" w:rsidP="00157010">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high-precision gravitational reference systems </w:t>
      </w:r>
    </w:p>
    <w:p w14:paraId="0747465C" w14:textId="7777777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Conclusion</w:t>
      </w:r>
    </w:p>
    <w:p w14:paraId="5462E26E"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Einsteinian relativity remains the central mathematical foundation for all serious warp-drive research. Modern warp studies increasingly focus on physically interpretable geometries, reduced energy conditions, and positive-energy stress configurations.</w:t>
      </w:r>
    </w:p>
    <w:p w14:paraId="709579D6"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The CST Navigation System extends these concepts into a synchronized timing architecture combining atomic clocks, relativistic corrections, harmonic stabilization, and hybrid propulsion control. While practical warp propulsion remains beyond current engineering capability, the integration of relativistic timing, quantum synchronization, plasma propulsion, and spacetime geometry may form the foundation for future interstellar navigation systems.</w:t>
      </w:r>
    </w:p>
    <w:p w14:paraId="31700BD1" w14:textId="77777777"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lastRenderedPageBreak/>
        <w:t>The strongest near-term applications of CST concepts may emerge in:</w:t>
      </w:r>
    </w:p>
    <w:p w14:paraId="32821B2E" w14:textId="77777777" w:rsidR="00157010" w:rsidRPr="00157010" w:rsidRDefault="00157010" w:rsidP="0015701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deep-space navigation </w:t>
      </w:r>
    </w:p>
    <w:p w14:paraId="44598DC6" w14:textId="77777777" w:rsidR="00157010" w:rsidRPr="00157010" w:rsidRDefault="00157010" w:rsidP="0015701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relativistic spacecraft timing </w:t>
      </w:r>
    </w:p>
    <w:p w14:paraId="3AA0CB82" w14:textId="77777777" w:rsidR="00157010" w:rsidRPr="00157010" w:rsidRDefault="00157010" w:rsidP="0015701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synchronized plasma propulsion </w:t>
      </w:r>
    </w:p>
    <w:p w14:paraId="45AC0741" w14:textId="77777777" w:rsidR="00157010" w:rsidRPr="00157010" w:rsidRDefault="00157010" w:rsidP="0015701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gravitational timing correction systems </w:t>
      </w:r>
    </w:p>
    <w:p w14:paraId="739F17F6" w14:textId="77777777" w:rsidR="00157010" w:rsidRPr="00157010" w:rsidRDefault="00157010" w:rsidP="00157010">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interplanetary autonomous guidance </w:t>
      </w:r>
    </w:p>
    <w:p w14:paraId="39671FEB" w14:textId="1B276ADE" w:rsidR="00157010" w:rsidRPr="00157010" w:rsidRDefault="00157010" w:rsidP="00157010">
      <w:p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Warp-drive engineering remains theoretical, but </w:t>
      </w:r>
      <w:r w:rsidRPr="00157010">
        <w:rPr>
          <w:rFonts w:ascii="Times New Roman" w:eastAsia="Times New Roman" w:hAnsi="Times New Roman" w:cs="Times New Roman"/>
          <w:sz w:val="24"/>
          <w:szCs w:val="24"/>
        </w:rPr>
        <w:t>mathematical</w:t>
      </w:r>
      <w:r w:rsidRPr="00157010">
        <w:rPr>
          <w:rFonts w:ascii="Times New Roman" w:eastAsia="Times New Roman" w:hAnsi="Times New Roman" w:cs="Times New Roman"/>
          <w:sz w:val="24"/>
          <w:szCs w:val="24"/>
        </w:rPr>
        <w:t xml:space="preserve"> and physical investigations continue to advance within the framework of Einsteinian spacetime physics.</w:t>
      </w:r>
    </w:p>
    <w:p w14:paraId="73196B38" w14:textId="77777777" w:rsidR="00157010" w:rsidRPr="00157010" w:rsidRDefault="00157010" w:rsidP="0015701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57010">
        <w:rPr>
          <w:rFonts w:ascii="Times New Roman" w:eastAsia="Times New Roman" w:hAnsi="Times New Roman" w:cs="Times New Roman"/>
          <w:b/>
          <w:bCs/>
          <w:kern w:val="36"/>
          <w:sz w:val="48"/>
          <w:szCs w:val="48"/>
        </w:rPr>
        <w:t>References</w:t>
      </w:r>
    </w:p>
    <w:p w14:paraId="31332786"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Albert Einstein — General Relativity and Special Relativity </w:t>
      </w:r>
    </w:p>
    <w:p w14:paraId="128013FA"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Miguel Alcubierre — Alcubierre Warp Metric </w:t>
      </w:r>
    </w:p>
    <w:p w14:paraId="568B1E8F"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Harold White — Warp-field engineering concepts </w:t>
      </w:r>
    </w:p>
    <w:p w14:paraId="32202B64"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José </w:t>
      </w:r>
      <w:proofErr w:type="spellStart"/>
      <w:r w:rsidRPr="00157010">
        <w:rPr>
          <w:rFonts w:ascii="Times New Roman" w:eastAsia="Times New Roman" w:hAnsi="Times New Roman" w:cs="Times New Roman"/>
          <w:sz w:val="24"/>
          <w:szCs w:val="24"/>
        </w:rPr>
        <w:t>Natário</w:t>
      </w:r>
      <w:proofErr w:type="spellEnd"/>
      <w:r w:rsidRPr="00157010">
        <w:rPr>
          <w:rFonts w:ascii="Times New Roman" w:eastAsia="Times New Roman" w:hAnsi="Times New Roman" w:cs="Times New Roman"/>
          <w:sz w:val="24"/>
          <w:szCs w:val="24"/>
        </w:rPr>
        <w:t xml:space="preserve"> — Alternative warp geometries </w:t>
      </w:r>
    </w:p>
    <w:p w14:paraId="172D7432"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Erik Lentz — Positive-energy warp theories </w:t>
      </w:r>
    </w:p>
    <w:p w14:paraId="45CF65F9"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NASA warp field mechanics studies </w:t>
      </w:r>
    </w:p>
    <w:p w14:paraId="4087EA0F"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“Introducing Physical Warp Drives” </w:t>
      </w:r>
    </w:p>
    <w:p w14:paraId="392B0ACE"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“Positive Energy Warp Drive from Hidden Geometric Structures” </w:t>
      </w:r>
    </w:p>
    <w:p w14:paraId="434A5402"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“A warp drive with predominantly positive invariant energy density” </w:t>
      </w:r>
    </w:p>
    <w:p w14:paraId="15859C08"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 xml:space="preserve">Modern segmented warp-nacelle studies </w:t>
      </w:r>
    </w:p>
    <w:p w14:paraId="41BFA770" w14:textId="77777777" w:rsidR="00157010" w:rsidRPr="00157010" w:rsidRDefault="00157010" w:rsidP="00157010">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57010">
        <w:rPr>
          <w:rFonts w:ascii="Times New Roman" w:eastAsia="Times New Roman" w:hAnsi="Times New Roman" w:cs="Times New Roman"/>
          <w:sz w:val="24"/>
          <w:szCs w:val="24"/>
        </w:rPr>
        <w:t>Review articles on warp-drive evolution and energy constraints</w:t>
      </w:r>
    </w:p>
    <w:p w14:paraId="4D23E321" w14:textId="47FEEA84" w:rsidR="008B38E1" w:rsidRDefault="008B38E1" w:rsidP="00157010"/>
    <w:p w14:paraId="4F6CC7ED" w14:textId="77777777" w:rsidR="00157010" w:rsidRDefault="00157010" w:rsidP="00157010"/>
    <w:p w14:paraId="4D1D79C8" w14:textId="77777777" w:rsidR="00157010" w:rsidRDefault="00157010" w:rsidP="00157010"/>
    <w:p w14:paraId="6CA06A4B" w14:textId="77777777" w:rsidR="00157010" w:rsidRDefault="00157010" w:rsidP="00157010"/>
    <w:p w14:paraId="5A017298" w14:textId="77777777" w:rsidR="00157010" w:rsidRDefault="00157010" w:rsidP="00157010"/>
    <w:p w14:paraId="0A8F377F" w14:textId="77777777" w:rsidR="00157010" w:rsidRDefault="00157010" w:rsidP="00157010"/>
    <w:p w14:paraId="3B1E4F56" w14:textId="77777777" w:rsidR="00157010" w:rsidRDefault="00157010" w:rsidP="00157010"/>
    <w:p w14:paraId="00D0503A" w14:textId="77777777" w:rsidR="00157010" w:rsidRDefault="00157010" w:rsidP="00157010"/>
    <w:p w14:paraId="3FAB3605" w14:textId="77777777" w:rsidR="00157010" w:rsidRDefault="00157010" w:rsidP="00157010"/>
    <w:p w14:paraId="239EE81E" w14:textId="77777777" w:rsidR="00157010" w:rsidRDefault="00157010" w:rsidP="00157010"/>
    <w:p w14:paraId="61002D75" w14:textId="77777777" w:rsidR="00157010" w:rsidRDefault="00157010" w:rsidP="00157010"/>
    <w:p w14:paraId="55E666D0" w14:textId="77777777" w:rsidR="00157010" w:rsidRDefault="00157010" w:rsidP="00157010"/>
    <w:p w14:paraId="270973BB" w14:textId="77777777" w:rsidR="00157010" w:rsidRDefault="00157010" w:rsidP="00157010"/>
    <w:p w14:paraId="7575F95D" w14:textId="77777777" w:rsidR="00157010" w:rsidRDefault="00157010" w:rsidP="00157010"/>
    <w:p w14:paraId="0AF40638" w14:textId="4E0D090F" w:rsidR="00157010" w:rsidRPr="00157010" w:rsidRDefault="00157010" w:rsidP="00157010">
      <w:pPr>
        <w:jc w:val="center"/>
      </w:pPr>
      <w:r>
        <w:rPr>
          <w:noProof/>
        </w:rPr>
        <w:lastRenderedPageBreak/>
        <w:drawing>
          <wp:inline distT="0" distB="0" distL="0" distR="0" wp14:anchorId="652152AC" wp14:editId="1147539F">
            <wp:extent cx="6096000" cy="9144000"/>
            <wp:effectExtent l="0" t="0" r="0" b="0"/>
            <wp:docPr id="181262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7474" name="Picture 1812627474"/>
                    <pic:cNvPicPr/>
                  </pic:nvPicPr>
                  <pic:blipFill>
                    <a:blip r:embed="rId6"/>
                    <a:stretch>
                      <a:fillRect/>
                    </a:stretch>
                  </pic:blipFill>
                  <pic:spPr>
                    <a:xfrm>
                      <a:off x="0" y="0"/>
                      <a:ext cx="6096000" cy="9144000"/>
                    </a:xfrm>
                    <a:prstGeom prst="rect">
                      <a:avLst/>
                    </a:prstGeom>
                  </pic:spPr>
                </pic:pic>
              </a:graphicData>
            </a:graphic>
          </wp:inline>
        </w:drawing>
      </w:r>
    </w:p>
    <w:sectPr w:rsidR="00157010" w:rsidRPr="00157010" w:rsidSect="000832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732E22"/>
    <w:multiLevelType w:val="multilevel"/>
    <w:tmpl w:val="36BA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263C7C"/>
    <w:multiLevelType w:val="multilevel"/>
    <w:tmpl w:val="5CA6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C24CAB"/>
    <w:multiLevelType w:val="multilevel"/>
    <w:tmpl w:val="1166C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11339"/>
    <w:multiLevelType w:val="multilevel"/>
    <w:tmpl w:val="699A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64330"/>
    <w:multiLevelType w:val="multilevel"/>
    <w:tmpl w:val="960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9169FC"/>
    <w:multiLevelType w:val="multilevel"/>
    <w:tmpl w:val="931E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C837D6"/>
    <w:multiLevelType w:val="multilevel"/>
    <w:tmpl w:val="7D42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182328"/>
    <w:multiLevelType w:val="multilevel"/>
    <w:tmpl w:val="023E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AC5AEF"/>
    <w:multiLevelType w:val="multilevel"/>
    <w:tmpl w:val="8D12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432E43"/>
    <w:multiLevelType w:val="multilevel"/>
    <w:tmpl w:val="0BA2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6768BB"/>
    <w:multiLevelType w:val="multilevel"/>
    <w:tmpl w:val="4970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11FD1"/>
    <w:multiLevelType w:val="multilevel"/>
    <w:tmpl w:val="8474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8019D"/>
    <w:multiLevelType w:val="multilevel"/>
    <w:tmpl w:val="3D32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F97509"/>
    <w:multiLevelType w:val="multilevel"/>
    <w:tmpl w:val="7A1E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02BA9"/>
    <w:multiLevelType w:val="multilevel"/>
    <w:tmpl w:val="72A6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033EE"/>
    <w:multiLevelType w:val="multilevel"/>
    <w:tmpl w:val="F17C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B39F4"/>
    <w:multiLevelType w:val="multilevel"/>
    <w:tmpl w:val="268A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7649F9"/>
    <w:multiLevelType w:val="multilevel"/>
    <w:tmpl w:val="1EC2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36865"/>
    <w:multiLevelType w:val="multilevel"/>
    <w:tmpl w:val="7E8A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423568">
    <w:abstractNumId w:val="8"/>
  </w:num>
  <w:num w:numId="2" w16cid:durableId="348802762">
    <w:abstractNumId w:val="6"/>
  </w:num>
  <w:num w:numId="3" w16cid:durableId="1049259311">
    <w:abstractNumId w:val="5"/>
  </w:num>
  <w:num w:numId="4" w16cid:durableId="949432994">
    <w:abstractNumId w:val="4"/>
  </w:num>
  <w:num w:numId="5" w16cid:durableId="1167138991">
    <w:abstractNumId w:val="7"/>
  </w:num>
  <w:num w:numId="6" w16cid:durableId="1517378081">
    <w:abstractNumId w:val="3"/>
  </w:num>
  <w:num w:numId="7" w16cid:durableId="81267649">
    <w:abstractNumId w:val="2"/>
  </w:num>
  <w:num w:numId="8" w16cid:durableId="326326028">
    <w:abstractNumId w:val="1"/>
  </w:num>
  <w:num w:numId="9" w16cid:durableId="169564537">
    <w:abstractNumId w:val="0"/>
  </w:num>
  <w:num w:numId="10" w16cid:durableId="612516640">
    <w:abstractNumId w:val="18"/>
  </w:num>
  <w:num w:numId="11" w16cid:durableId="550265797">
    <w:abstractNumId w:val="13"/>
  </w:num>
  <w:num w:numId="12" w16cid:durableId="1404332222">
    <w:abstractNumId w:val="14"/>
  </w:num>
  <w:num w:numId="13" w16cid:durableId="2017610627">
    <w:abstractNumId w:val="12"/>
  </w:num>
  <w:num w:numId="14" w16cid:durableId="1842307731">
    <w:abstractNumId w:val="22"/>
  </w:num>
  <w:num w:numId="15" w16cid:durableId="1038436695">
    <w:abstractNumId w:val="17"/>
  </w:num>
  <w:num w:numId="16" w16cid:durableId="1536576376">
    <w:abstractNumId w:val="16"/>
  </w:num>
  <w:num w:numId="17" w16cid:durableId="1498613852">
    <w:abstractNumId w:val="27"/>
  </w:num>
  <w:num w:numId="18" w16cid:durableId="1033729922">
    <w:abstractNumId w:val="26"/>
  </w:num>
  <w:num w:numId="19" w16cid:durableId="1342775306">
    <w:abstractNumId w:val="11"/>
  </w:num>
  <w:num w:numId="20" w16cid:durableId="1481338583">
    <w:abstractNumId w:val="24"/>
  </w:num>
  <w:num w:numId="21" w16cid:durableId="2127039766">
    <w:abstractNumId w:val="23"/>
  </w:num>
  <w:num w:numId="22" w16cid:durableId="1239024873">
    <w:abstractNumId w:val="9"/>
  </w:num>
  <w:num w:numId="23" w16cid:durableId="314728182">
    <w:abstractNumId w:val="15"/>
  </w:num>
  <w:num w:numId="24" w16cid:durableId="1894467079">
    <w:abstractNumId w:val="20"/>
  </w:num>
  <w:num w:numId="25" w16cid:durableId="1140343100">
    <w:abstractNumId w:val="19"/>
  </w:num>
  <w:num w:numId="26" w16cid:durableId="2055303316">
    <w:abstractNumId w:val="25"/>
  </w:num>
  <w:num w:numId="27" w16cid:durableId="904536099">
    <w:abstractNumId w:val="21"/>
  </w:num>
  <w:num w:numId="28" w16cid:durableId="20429776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41CC"/>
    <w:rsid w:val="00083267"/>
    <w:rsid w:val="0015074B"/>
    <w:rsid w:val="00157010"/>
    <w:rsid w:val="001F1F26"/>
    <w:rsid w:val="0029639D"/>
    <w:rsid w:val="00326F90"/>
    <w:rsid w:val="004C0C28"/>
    <w:rsid w:val="008B38E1"/>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96B495"/>
  <w14:defaultImageDpi w14:val="300"/>
  <w15:docId w15:val="{0F78C3EB-1BF6-4363-92A7-BD8AC168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1629</Words>
  <Characters>9290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10898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Gabino Casanova</cp:lastModifiedBy>
  <cp:revision>3</cp:revision>
  <dcterms:created xsi:type="dcterms:W3CDTF">2013-12-23T23:15:00Z</dcterms:created>
  <dcterms:modified xsi:type="dcterms:W3CDTF">2026-05-16T18:13:00Z</dcterms:modified>
  <cp:category/>
</cp:coreProperties>
</file>