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ADD2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CST Pilot-Wave Warp Drive Engine:</w:t>
      </w:r>
    </w:p>
    <w:p w14:paraId="0040039C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Temporal Equilibrium Bell Sphere for Field Stabilization, Synchronization, and Propulsion Coherence</w:t>
      </w:r>
    </w:p>
    <w:p w14:paraId="32D716E1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</w:t>
      </w:r>
    </w:p>
    <w:p w14:paraId="00959577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This paper presents a conceptual propulsion architecture referred to as the </w:t>
      </w:r>
      <w:r w:rsidRPr="00BA5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CST Pilot-Wave Warp Drive Engine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, integrating a proposed </w:t>
      </w:r>
      <w:r w:rsidRPr="00BA5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Temporal Equilibrium Bell Sphere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as a stabilization and synchronization subsystem within a speculative spacetime-engineering framework. The model combines concepts from General Relativity, spacetime metric engineering, wave coherence, phase synchronization, and multi-clock timing coordination using Cosmic Standard Time (CST).</w:t>
      </w:r>
    </w:p>
    <w:p w14:paraId="0593A6AD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The proposed Bell Sphere does not function as a standalone propulsion source. Instead, it is theorized as an equilibrium-management layer intended to stabilize field gradients, regulate energy-density distribution, synchronize temporal references, and improve wave coherence around a propulsion region. The framework draws conceptual inspiration from Alcubierre and </w:t>
      </w: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warp-drive geometries while reframing the system as a controlled synchronization and field-balancing architecture rather than a literal faster-than-light transport claim.</w:t>
      </w:r>
    </w:p>
    <w:p w14:paraId="0C6DEBAB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paper proposes that synchronization between atomic timing, CST references, UTC references, and interstellar timing coordination may improve the stability of high-energy propulsion environments by reducing phase deviation and field asymmetry. The Bell Sphere is therefore presented as a theoretical equilibrium shell surrounding the propulsion field, designed to maintain coherent operation and controlled return-to-equilibrium behavior during propulsion cycles.</w:t>
      </w:r>
    </w:p>
    <w:p w14:paraId="6FF6B7E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This work is theoretical and speculative and does not claim the existence of experimentally verified warp propulsion systems.</w:t>
      </w:r>
    </w:p>
    <w:p w14:paraId="2C2BE1BF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Introduction</w:t>
      </w:r>
    </w:p>
    <w:p w14:paraId="2A80285E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Modern theoretical warp-drive studies investigate whether spacetime geometry may be manipulated through controlled energy distributions within Einstein’s field equations. Miguel Alcubierre’s 1994 warp metric introduced the idea of a “warp bubble” in which spacetime contracts ahead of a spacecraft and expands behind it. </w:t>
      </w:r>
    </w:p>
    <w:p w14:paraId="119958AC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Subsequent research expanded these ideas through alternative spacetime geometries, including </w:t>
      </w: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Natário’s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zero-expansion warp configurations and studies involving curvature invariants, stress-energy distributions, and fluid-based interpretations of warp metrics. </w:t>
      </w:r>
    </w:p>
    <w:p w14:paraId="42EB6CA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image analyzed in this study proposes a conceptual extension called the </w:t>
      </w:r>
      <w:r w:rsidRPr="00BA5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Temporal Equilibrium Bell Sphere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, functioning as:</w:t>
      </w:r>
    </w:p>
    <w:p w14:paraId="5CB3A538" w14:textId="77777777" w:rsidR="00BA5856" w:rsidRPr="00BA5856" w:rsidRDefault="00BA5856" w:rsidP="00BA5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field-pressure balancing shell, </w:t>
      </w:r>
    </w:p>
    <w:p w14:paraId="72D646C8" w14:textId="77777777" w:rsidR="00BA5856" w:rsidRPr="00BA5856" w:rsidRDefault="00BA5856" w:rsidP="00BA5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phase synchronization region, </w:t>
      </w:r>
    </w:p>
    <w:p w14:paraId="21666703" w14:textId="77777777" w:rsidR="00BA5856" w:rsidRPr="00BA5856" w:rsidRDefault="00BA5856" w:rsidP="00BA5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wave coherence stabilizer, </w:t>
      </w:r>
    </w:p>
    <w:p w14:paraId="708A9768" w14:textId="77777777" w:rsidR="00BA5856" w:rsidRPr="00BA5856" w:rsidRDefault="00BA5856" w:rsidP="00BA5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 energy-density regulation layer, </w:t>
      </w:r>
    </w:p>
    <w:p w14:paraId="0FDF6F43" w14:textId="77777777" w:rsidR="00BA5856" w:rsidRPr="00BA5856" w:rsidRDefault="00BA5856" w:rsidP="00BA58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a controlled return-to-equilibrium mechanism. </w:t>
      </w:r>
    </w:p>
    <w:p w14:paraId="09BC2832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Unlike many fictional warp-drive representations focused solely on propulsion, this framework emphasizes stabilization, synchronization, and survivability.</w:t>
      </w:r>
    </w:p>
    <w:p w14:paraId="59A81BDB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Theoretical Background</w:t>
      </w:r>
    </w:p>
    <w:p w14:paraId="214196F3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Alcubierre Warp Geometry</w:t>
      </w:r>
    </w:p>
    <w:p w14:paraId="6C489B73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The Alcubierre metric proposed that a spacecraft could remain locally stationary within a “warp bubble” while spacetime itself transports the bubble. </w:t>
      </w:r>
    </w:p>
    <w:p w14:paraId="38808D4E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Key properties include:</w:t>
      </w:r>
    </w:p>
    <w:p w14:paraId="36B9ACFF" w14:textId="77777777" w:rsidR="00BA5856" w:rsidRPr="00BA5856" w:rsidRDefault="00BA5856" w:rsidP="00BA5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local inertial frame preservation, </w:t>
      </w:r>
    </w:p>
    <w:p w14:paraId="0C2E8D4E" w14:textId="77777777" w:rsidR="00BA5856" w:rsidRPr="00BA5856" w:rsidRDefault="00BA5856" w:rsidP="00BA5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apparent superluminal translation, </w:t>
      </w:r>
    </w:p>
    <w:p w14:paraId="70EF9491" w14:textId="77777777" w:rsidR="00BA5856" w:rsidRPr="00BA5856" w:rsidRDefault="00BA5856" w:rsidP="00BA5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spacetime contraction and expansion, </w:t>
      </w:r>
    </w:p>
    <w:p w14:paraId="32237776" w14:textId="77777777" w:rsidR="00BA5856" w:rsidRPr="00BA5856" w:rsidRDefault="00BA5856" w:rsidP="00BA5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a surrounding warp shell geometry. </w:t>
      </w:r>
    </w:p>
    <w:p w14:paraId="15AABC37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The concept remains theoretical because of unresolved requirements involving energy density and stress-energy tensor conditions. </w:t>
      </w:r>
    </w:p>
    <w:p w14:paraId="64EE79EB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Natário</w:t>
      </w:r>
      <w:proofErr w:type="spellEnd"/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Warp Configurations</w:t>
      </w:r>
    </w:p>
    <w:p w14:paraId="2BC821DC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later proposed a “zero-expansion” warp geometry in which motion occurs through spacetime flow reconfiguration rather than direct expansion of space. </w:t>
      </w:r>
    </w:p>
    <w:p w14:paraId="37C7C792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Recent analyses of </w:t>
      </w: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geometries examined:</w:t>
      </w:r>
    </w:p>
    <w:p w14:paraId="063FECEE" w14:textId="77777777" w:rsidR="00BA5856" w:rsidRPr="00BA5856" w:rsidRDefault="00BA5856" w:rsidP="00BA5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curvature invariant distributions, </w:t>
      </w:r>
    </w:p>
    <w:p w14:paraId="5D712579" w14:textId="77777777" w:rsidR="00BA5856" w:rsidRPr="00BA5856" w:rsidRDefault="00BA5856" w:rsidP="00BA5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momentum-density structures, </w:t>
      </w:r>
    </w:p>
    <w:p w14:paraId="58B789F1" w14:textId="77777777" w:rsidR="00BA5856" w:rsidRPr="00BA5856" w:rsidRDefault="00BA5856" w:rsidP="00BA5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field localization, </w:t>
      </w:r>
    </w:p>
    <w:p w14:paraId="1433CD7A" w14:textId="77777777" w:rsidR="00BA5856" w:rsidRPr="00BA5856" w:rsidRDefault="00BA5856" w:rsidP="00BA5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bubble stability behavior. </w:t>
      </w:r>
    </w:p>
    <w:p w14:paraId="12F39DFE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2CD57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5E7C84" w14:textId="2700D046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These studies support the importance of:</w:t>
      </w:r>
    </w:p>
    <w:p w14:paraId="1DDB9A77" w14:textId="77777777" w:rsidR="00BA5856" w:rsidRPr="00BA5856" w:rsidRDefault="00BA5856" w:rsidP="00BA5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shell geometry, </w:t>
      </w:r>
    </w:p>
    <w:p w14:paraId="0CC177CA" w14:textId="77777777" w:rsidR="00BA5856" w:rsidRPr="00BA5856" w:rsidRDefault="00BA5856" w:rsidP="00BA5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field gradients, </w:t>
      </w:r>
    </w:p>
    <w:p w14:paraId="751D2877" w14:textId="77777777" w:rsidR="00BA5856" w:rsidRPr="00BA5856" w:rsidRDefault="00BA5856" w:rsidP="00BA58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and curvature localization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within speculative warp-field systems. </w:t>
      </w:r>
    </w:p>
    <w:p w14:paraId="5C60D160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CST Synchronization Framework</w:t>
      </w:r>
    </w:p>
    <w:p w14:paraId="094D3FE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CST Pilot-Wave concept extends beyond propulsion geometry by introducing a synchronized timing architecture composed of:</w:t>
      </w:r>
    </w:p>
    <w:p w14:paraId="7398FCDE" w14:textId="77777777" w:rsidR="00BA5856" w:rsidRPr="00BA5856" w:rsidRDefault="00BA5856" w:rsidP="00BA5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Atomic Time, </w:t>
      </w:r>
    </w:p>
    <w:p w14:paraId="4F29D831" w14:textId="77777777" w:rsidR="00BA5856" w:rsidRPr="00BA5856" w:rsidRDefault="00BA5856" w:rsidP="00BA5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UTC Time, </w:t>
      </w:r>
    </w:p>
    <w:p w14:paraId="1357C045" w14:textId="77777777" w:rsidR="00BA5856" w:rsidRPr="00BA5856" w:rsidRDefault="00BA5856" w:rsidP="00BA5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CST Time, </w:t>
      </w:r>
    </w:p>
    <w:p w14:paraId="2877E332" w14:textId="77777777" w:rsidR="00BA5856" w:rsidRPr="00BA5856" w:rsidRDefault="00BA5856" w:rsidP="00BA58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Interstellar Reference Time. </w:t>
      </w:r>
    </w:p>
    <w:p w14:paraId="1A53BD9F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image specifically identifies this as the:</w:t>
      </w:r>
    </w:p>
    <w:p w14:paraId="199E490B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“Clock Synchronization (CST Stack)”</w:t>
      </w:r>
    </w:p>
    <w:p w14:paraId="6864DB06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proposed objective is not time travel, but synchronized field regulation.</w:t>
      </w:r>
    </w:p>
    <w:p w14:paraId="00335F9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theoretical synchronization objective may be expressed as:</w:t>
      </w:r>
    </w:p>
    <w:p w14:paraId="4DE687E8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CST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nary>
            <m:naryPr>
              <m:chr m:val="∑"/>
              <m:limLoc m:val="subSup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ref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</m:oMath>
      </m:oMathPara>
    </w:p>
    <w:p w14:paraId="1FF8B2A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22E9F9E6" w14:textId="77777777" w:rsidR="00BA5856" w:rsidRPr="00BA5856" w:rsidRDefault="00BA5856" w:rsidP="00BA5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i</m:t>
            </m:r>
          </m:sub>
        </m:sSub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subsystem timing references, </w:t>
      </w:r>
    </w:p>
    <w:p w14:paraId="0524A880" w14:textId="77777777" w:rsidR="00BA5856" w:rsidRPr="00BA5856" w:rsidRDefault="00BA5856" w:rsidP="00BA5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ref</m:t>
            </m:r>
          </m:sub>
        </m:sSub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the synchronized reference frame, </w:t>
      </w:r>
    </w:p>
    <w:p w14:paraId="6A60F5F6" w14:textId="77777777" w:rsidR="00BA5856" w:rsidRPr="00BA5856" w:rsidRDefault="00BA5856" w:rsidP="00BA58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i</m:t>
            </m:r>
          </m:sub>
        </m:sSub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weighting coefficients. </w:t>
      </w:r>
    </w:p>
    <w:p w14:paraId="24C8D8CD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Lower synchronization deviation theoretically corresponds to improved stability and reduced phase turbulence.</w:t>
      </w:r>
    </w:p>
    <w:p w14:paraId="419D3DED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Temporal Equilibrium Bell Sphere</w:t>
      </w:r>
    </w:p>
    <w:p w14:paraId="485D84D7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Conceptual Function</w:t>
      </w:r>
    </w:p>
    <w:p w14:paraId="46BDFA7B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Bell Sphere is presented as a surrounding equilibrium shell that stabilizes the propulsion field.</w:t>
      </w:r>
    </w:p>
    <w:p w14:paraId="013F1A60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image attributes the following functions to the Bell Sphere:</w:t>
      </w:r>
    </w:p>
    <w:p w14:paraId="6CE3989C" w14:textId="77777777" w:rsidR="00BA5856" w:rsidRPr="00BA5856" w:rsidRDefault="00BA5856" w:rsidP="00BA5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Phase Stability Control </w:t>
      </w:r>
    </w:p>
    <w:p w14:paraId="72627A4D" w14:textId="77777777" w:rsidR="00BA5856" w:rsidRPr="00BA5856" w:rsidRDefault="00BA5856" w:rsidP="00BA5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Field Pressure Balance </w:t>
      </w:r>
    </w:p>
    <w:p w14:paraId="46FADB6D" w14:textId="77777777" w:rsidR="00BA5856" w:rsidRPr="00BA5856" w:rsidRDefault="00BA5856" w:rsidP="00BA5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Energy Density Management </w:t>
      </w:r>
    </w:p>
    <w:p w14:paraId="20C0BD64" w14:textId="77777777" w:rsidR="00BA5856" w:rsidRPr="00BA5856" w:rsidRDefault="00BA5856" w:rsidP="00BA5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Wave Memory &amp; Coherence </w:t>
      </w:r>
    </w:p>
    <w:p w14:paraId="1D2E622C" w14:textId="77777777" w:rsidR="00BA5856" w:rsidRPr="00BA5856" w:rsidRDefault="00BA5856" w:rsidP="00BA58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Safety &amp; Return to Equilibrium </w:t>
      </w:r>
    </w:p>
    <w:p w14:paraId="1778F858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Bell Sphere therefore behaves conceptually as:</w:t>
      </w:r>
    </w:p>
    <w:p w14:paraId="16DC10F4" w14:textId="77777777" w:rsidR="00BA5856" w:rsidRPr="00BA5856" w:rsidRDefault="00BA5856" w:rsidP="00BA58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stabilization envelope, </w:t>
      </w:r>
    </w:p>
    <w:p w14:paraId="138310F9" w14:textId="77777777" w:rsidR="00BA5856" w:rsidRPr="00BA5856" w:rsidRDefault="00BA5856" w:rsidP="00BA58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coherence-preservation shell, </w:t>
      </w:r>
    </w:p>
    <w:p w14:paraId="262EDA01" w14:textId="77777777" w:rsidR="00BA5856" w:rsidRPr="00BA5856" w:rsidRDefault="00BA5856" w:rsidP="00BA58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an equilibrium-management region. </w:t>
      </w:r>
    </w:p>
    <w:p w14:paraId="11A8E7AC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Pilot-Wave Propulsion Interpretation</w:t>
      </w:r>
    </w:p>
    <w:p w14:paraId="17CC77D8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image proposes that propulsion occurs through controlled pilot-wave interference patterns rather than conventional propellant thrust.</w:t>
      </w:r>
    </w:p>
    <w:p w14:paraId="1A1E627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simplified pilot-wave force relation shown in the image resembles:</w:t>
      </w:r>
    </w:p>
    <w:p w14:paraId="1AB3AC7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guide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=-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∇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v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Casimir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)</m:t>
          </m:r>
        </m:oMath>
      </m:oMathPara>
    </w:p>
    <w:p w14:paraId="79EC5780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This symbolic relation suggests that:</w:t>
      </w:r>
    </w:p>
    <w:p w14:paraId="7AE5B684" w14:textId="77777777" w:rsidR="00BA5856" w:rsidRPr="00BA5856" w:rsidRDefault="00BA5856" w:rsidP="00BA58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vacuum fields, </w:t>
      </w:r>
    </w:p>
    <w:p w14:paraId="5997F13E" w14:textId="77777777" w:rsidR="00BA5856" w:rsidRPr="00BA5856" w:rsidRDefault="00BA5856" w:rsidP="00BA58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Casimir-like interactions, </w:t>
      </w:r>
    </w:p>
    <w:p w14:paraId="350ECB24" w14:textId="77777777" w:rsidR="00BA5856" w:rsidRPr="00BA5856" w:rsidRDefault="00BA5856" w:rsidP="00BA58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and electromagnetic field gradients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may theoretically contribute to directional guidance structures. </w:t>
      </w:r>
    </w:p>
    <w:p w14:paraId="1393E1F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This does not constitute experimentally verified propulsion physics but instead serves as a conceptual framework for field-directed motion.</w:t>
      </w:r>
    </w:p>
    <w:p w14:paraId="543A202B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Bell Sphere Stability Objective</w:t>
      </w:r>
    </w:p>
    <w:p w14:paraId="54F0ED8F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image also proposes a Bell Sphere stability function based on synchronization and field gradients.</w:t>
      </w:r>
    </w:p>
    <w:p w14:paraId="1669F4E2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BCCB5B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3D86A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FB28F9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65BEB" w14:textId="7862238F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generalized representation is:</w:t>
      </w:r>
    </w:p>
    <w:p w14:paraId="6F911F7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Bell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nary>
            <m:naryPr>
              <m:chr m:val="∑"/>
              <m:limLoc m:val="subSup"/>
              <m:grow m:val="1"/>
              <m:supHide m:val="1"/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14:ligatures w14:val="none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+α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∥∇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p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∥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2</m:t>
              </m:r>
            </m:sup>
          </m:sSup>
        </m:oMath>
      </m:oMathPara>
    </w:p>
    <w:p w14:paraId="2D70CA9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Where:</w:t>
      </w:r>
    </w:p>
    <w:p w14:paraId="5B18925D" w14:textId="77777777" w:rsidR="00BA5856" w:rsidRPr="00BA5856" w:rsidRDefault="00BA5856" w:rsidP="00BA58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14:ligatures w14:val="none"/>
          </w:rPr>
          <m:t>Δ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i</m:t>
            </m:r>
          </m:sub>
        </m:sSub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timing mismatch, </w:t>
      </w:r>
    </w:p>
    <w:p w14:paraId="58B3EAA0" w14:textId="77777777" w:rsidR="00BA5856" w:rsidRPr="00BA5856" w:rsidRDefault="00BA5856" w:rsidP="00BA58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p</m:t>
            </m:r>
          </m:sub>
        </m:sSub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propulsion-field potential, </w:t>
      </w:r>
    </w:p>
    <w:p w14:paraId="093CEB19" w14:textId="77777777" w:rsidR="00BA5856" w:rsidRPr="00BA5856" w:rsidRDefault="00BA5856" w:rsidP="00BA58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m:oMath>
        <m:r>
          <w:rPr>
            <w:rFonts w:ascii="Cambria Math" w:eastAsia="Times New Roman" w:hAnsi="Cambria Math" w:cs="Times New Roman"/>
            <w:kern w:val="0"/>
            <w14:ligatures w14:val="none"/>
          </w:rPr>
          <m:t>α</m:t>
        </m:r>
      </m:oMath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represents field-gradient weighting. </w:t>
      </w:r>
    </w:p>
    <w:p w14:paraId="0113D1F0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proposed interpretation is that:</w:t>
      </w:r>
    </w:p>
    <w:p w14:paraId="70698BF9" w14:textId="77777777" w:rsidR="00BA5856" w:rsidRPr="00BA5856" w:rsidRDefault="00BA5856" w:rsidP="00BA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reduced phase mismatch, </w:t>
      </w:r>
    </w:p>
    <w:p w14:paraId="1C2BBA9C" w14:textId="77777777" w:rsidR="00BA5856" w:rsidRPr="00BA5856" w:rsidRDefault="00BA5856" w:rsidP="00BA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reduced field asymmetry, </w:t>
      </w:r>
    </w:p>
    <w:p w14:paraId="54A2A7F2" w14:textId="77777777" w:rsidR="00BA5856" w:rsidRPr="00BA5856" w:rsidRDefault="00BA5856" w:rsidP="00BA58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and smoother gradient transitions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produce improved stability. </w:t>
      </w:r>
    </w:p>
    <w:p w14:paraId="6926FC15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Energy Balance and Sustained Operation</w:t>
      </w:r>
    </w:p>
    <w:p w14:paraId="17A1AF4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image proposes a balanced-flow propulsion condition:</w:t>
      </w:r>
    </w:p>
    <w:p w14:paraId="30CE4E73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in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loss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rad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stored</m:t>
              </m:r>
            </m:sub>
          </m:sSub>
        </m:oMath>
      </m:oMathPara>
    </w:p>
    <w:p w14:paraId="75A45DD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This relationship reflects the concept that:</w:t>
      </w:r>
    </w:p>
    <w:p w14:paraId="3DB075DE" w14:textId="77777777" w:rsidR="00BA5856" w:rsidRPr="00BA5856" w:rsidRDefault="00BA5856" w:rsidP="00BA58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stable propulsion requires controlled energy flow, </w:t>
      </w:r>
    </w:p>
    <w:p w14:paraId="35A69633" w14:textId="77777777" w:rsidR="00BA5856" w:rsidRPr="00BA5856" w:rsidRDefault="00BA5856" w:rsidP="00BA58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radiative losses must remain bounded, </w:t>
      </w:r>
    </w:p>
    <w:p w14:paraId="52DCE01E" w14:textId="77777777" w:rsidR="00BA5856" w:rsidRPr="00BA5856" w:rsidRDefault="00BA5856" w:rsidP="00BA58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uncontrolled accumulation destabilizes the system. </w:t>
      </w:r>
    </w:p>
    <w:p w14:paraId="7E8EC493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Bell Sphere is therefore interpreted as an equilibrium regulator intended to prevent uncontrolled field divergence.</w:t>
      </w:r>
    </w:p>
    <w:p w14:paraId="27BF7CFF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Relation to Existing Warp Research</w:t>
      </w:r>
    </w:p>
    <w:p w14:paraId="782AFF53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Several modern warp-drive studies increasingly investigate:</w:t>
      </w:r>
    </w:p>
    <w:p w14:paraId="2492184D" w14:textId="77777777" w:rsidR="00BA5856" w:rsidRPr="00BA5856" w:rsidRDefault="00BA5856" w:rsidP="00BA58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shell geometries, </w:t>
      </w:r>
    </w:p>
    <w:p w14:paraId="13BB1346" w14:textId="77777777" w:rsidR="00BA5856" w:rsidRPr="00BA5856" w:rsidRDefault="00BA5856" w:rsidP="00BA58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energy localization, </w:t>
      </w:r>
    </w:p>
    <w:p w14:paraId="0ADF1AFB" w14:textId="77777777" w:rsidR="00BA5856" w:rsidRPr="00BA5856" w:rsidRDefault="00BA5856" w:rsidP="00BA58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fluid analogs, </w:t>
      </w:r>
    </w:p>
    <w:p w14:paraId="2C1ACBA7" w14:textId="77777777" w:rsidR="00BA5856" w:rsidRPr="00BA5856" w:rsidRDefault="00BA5856" w:rsidP="00BA58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field topology engineering. </w:t>
      </w:r>
    </w:p>
    <w:p w14:paraId="57985BA9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038F8D" w14:textId="295FB465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Recent work also explores:</w:t>
      </w:r>
    </w:p>
    <w:p w14:paraId="72A6CB71" w14:textId="77777777" w:rsidR="00BA5856" w:rsidRPr="00BA5856" w:rsidRDefault="00BA5856" w:rsidP="00BA58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spherical warp structures, </w:t>
      </w:r>
    </w:p>
    <w:p w14:paraId="03D7A93D" w14:textId="77777777" w:rsidR="00BA5856" w:rsidRPr="00BA5856" w:rsidRDefault="00BA5856" w:rsidP="00BA58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positive-energy approximations, </w:t>
      </w:r>
    </w:p>
    <w:p w14:paraId="03842DF4" w14:textId="77777777" w:rsidR="00BA5856" w:rsidRPr="00BA5856" w:rsidRDefault="00BA5856" w:rsidP="00BA58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alternative warp geometries. </w:t>
      </w:r>
    </w:p>
    <w:p w14:paraId="00E3A43D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Bell Sphere concept loosely aligns with these broader themes by emphasizing:</w:t>
      </w:r>
    </w:p>
    <w:p w14:paraId="38206D49" w14:textId="77777777" w:rsidR="00BA5856" w:rsidRPr="00BA5856" w:rsidRDefault="00BA5856" w:rsidP="00BA58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localized field stabilization, </w:t>
      </w:r>
    </w:p>
    <w:p w14:paraId="4F0D5B0B" w14:textId="77777777" w:rsidR="00BA5856" w:rsidRPr="00BA5856" w:rsidRDefault="00BA5856" w:rsidP="00BA58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coherent shell geometry, </w:t>
      </w:r>
    </w:p>
    <w:p w14:paraId="4E6A8BEA" w14:textId="77777777" w:rsidR="00BA5856" w:rsidRPr="00BA5856" w:rsidRDefault="00BA5856" w:rsidP="00BA58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controlled equilibrium management. </w:t>
      </w:r>
    </w:p>
    <w:p w14:paraId="68865E7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However, the Bell Sphere itself remains an original speculative interpretation rather than an established physical model.</w:t>
      </w:r>
    </w:p>
    <w:p w14:paraId="5F9AFDDF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Limitations</w:t>
      </w:r>
    </w:p>
    <w:p w14:paraId="580A360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CST Pilot-Wave Bell Sphere model remains highly theoretical.</w:t>
      </w:r>
    </w:p>
    <w:p w14:paraId="1AC727C6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No experimental evidence currently demonstrates:</w:t>
      </w:r>
    </w:p>
    <w:p w14:paraId="654D951E" w14:textId="77777777" w:rsidR="00BA5856" w:rsidRPr="00BA5856" w:rsidRDefault="00BA5856" w:rsidP="00BA58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controllable warp bubbles, </w:t>
      </w:r>
    </w:p>
    <w:p w14:paraId="6C5E96F5" w14:textId="77777777" w:rsidR="00BA5856" w:rsidRPr="00BA5856" w:rsidRDefault="00BA5856" w:rsidP="00BA58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stable spacetime propulsion shells, </w:t>
      </w:r>
    </w:p>
    <w:p w14:paraId="03D226E6" w14:textId="77777777" w:rsidR="00BA5856" w:rsidRPr="00BA5856" w:rsidRDefault="00BA5856" w:rsidP="00BA58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field-coherent pilot-wave propulsion, </w:t>
      </w:r>
    </w:p>
    <w:p w14:paraId="302AFCA1" w14:textId="77777777" w:rsidR="00BA5856" w:rsidRPr="00BA5856" w:rsidRDefault="00BA5856" w:rsidP="00BA58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or practical Bell Sphere stabilization systems. </w:t>
      </w:r>
    </w:p>
    <w:p w14:paraId="7C2A735E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Current limitations include:</w:t>
      </w:r>
    </w:p>
    <w:p w14:paraId="0398D6E9" w14:textId="77777777" w:rsidR="00BA5856" w:rsidRPr="00BA5856" w:rsidRDefault="00BA5856" w:rsidP="00BA5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unresolved energy requirements, </w:t>
      </w:r>
    </w:p>
    <w:p w14:paraId="19796291" w14:textId="77777777" w:rsidR="00BA5856" w:rsidRPr="00BA5856" w:rsidRDefault="00BA5856" w:rsidP="00BA5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unknown matter-energy distributions, </w:t>
      </w:r>
    </w:p>
    <w:p w14:paraId="60C717CF" w14:textId="77777777" w:rsidR="00BA5856" w:rsidRPr="00BA5856" w:rsidRDefault="00BA5856" w:rsidP="00BA5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radiation hazards, </w:t>
      </w:r>
    </w:p>
    <w:p w14:paraId="50E956CF" w14:textId="77777777" w:rsidR="00BA5856" w:rsidRPr="00BA5856" w:rsidRDefault="00BA5856" w:rsidP="00BA5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stress-energy constraints, </w:t>
      </w:r>
    </w:p>
    <w:p w14:paraId="22B431A5" w14:textId="77777777" w:rsidR="00BA5856" w:rsidRPr="00BA5856" w:rsidRDefault="00BA5856" w:rsidP="00BA58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incomplete understanding of quantum-gravity coupling. </w:t>
      </w:r>
    </w:p>
    <w:p w14:paraId="75E156BD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framework should therefore be interpreted as:</w:t>
      </w:r>
    </w:p>
    <w:p w14:paraId="60C97BA8" w14:textId="77777777" w:rsidR="00BA5856" w:rsidRPr="00BA5856" w:rsidRDefault="00BA5856" w:rsidP="00BA5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conceptual spacetime-control architecture, </w:t>
      </w:r>
    </w:p>
    <w:p w14:paraId="2C99C48F" w14:textId="77777777" w:rsidR="00BA5856" w:rsidRPr="00BA5856" w:rsidRDefault="00BA5856" w:rsidP="00BA58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not a validated propulsion technology. </w:t>
      </w:r>
    </w:p>
    <w:p w14:paraId="4953DCC3" w14:textId="77777777" w:rsid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8BB26BE" w14:textId="77777777" w:rsid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0140E88" w14:textId="31490114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Conclusion</w:t>
      </w:r>
    </w:p>
    <w:p w14:paraId="2C7E68B3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CST Pilot-Wave Warp Drive Engine proposes a synchronization-centered interpretation of speculative spacetime propulsion. Rather than focusing solely on faster-than-light motion, the model emphasizes:</w:t>
      </w:r>
    </w:p>
    <w:p w14:paraId="08836715" w14:textId="77777777" w:rsidR="00BA5856" w:rsidRPr="00BA5856" w:rsidRDefault="00BA5856" w:rsidP="00BA58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field coherence, </w:t>
      </w:r>
    </w:p>
    <w:p w14:paraId="3416521E" w14:textId="77777777" w:rsidR="00BA5856" w:rsidRPr="00BA5856" w:rsidRDefault="00BA5856" w:rsidP="00BA58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synchronization stability, </w:t>
      </w:r>
    </w:p>
    <w:p w14:paraId="5759194C" w14:textId="77777777" w:rsidR="00BA5856" w:rsidRPr="00BA5856" w:rsidRDefault="00BA5856" w:rsidP="00BA58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equilibrium management, </w:t>
      </w:r>
    </w:p>
    <w:p w14:paraId="102C4EA1" w14:textId="77777777" w:rsidR="00BA5856" w:rsidRPr="00BA5856" w:rsidRDefault="00BA5856" w:rsidP="00BA58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controlled energy-density distribution. </w:t>
      </w:r>
    </w:p>
    <w:p w14:paraId="0ED13E0C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The proposed Temporal Equilibrium Bell Sphere functions conceptually as:</w:t>
      </w:r>
    </w:p>
    <w:p w14:paraId="0C4617BF" w14:textId="77777777" w:rsidR="00BA5856" w:rsidRPr="00BA5856" w:rsidRDefault="00BA5856" w:rsidP="00BA58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 stabilization shell, </w:t>
      </w:r>
    </w:p>
    <w:p w14:paraId="7809B581" w14:textId="77777777" w:rsidR="00BA5856" w:rsidRPr="00BA5856" w:rsidRDefault="00BA5856" w:rsidP="00BA58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synchronization envelope, </w:t>
      </w:r>
    </w:p>
    <w:p w14:paraId="2784FBC4" w14:textId="77777777" w:rsidR="00BA5856" w:rsidRPr="00BA5856" w:rsidRDefault="00BA5856" w:rsidP="00BA58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propulsion coherence regulator. </w:t>
      </w:r>
    </w:p>
    <w:p w14:paraId="33BB693E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Although highly speculative, the framework aligns conceptually with broader warp-drive research investigating:</w:t>
      </w:r>
    </w:p>
    <w:p w14:paraId="37C13D99" w14:textId="77777777" w:rsidR="00BA5856" w:rsidRPr="00BA5856" w:rsidRDefault="00BA5856" w:rsidP="00BA58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shell geometries, </w:t>
      </w:r>
    </w:p>
    <w:p w14:paraId="0B64FAC4" w14:textId="77777777" w:rsidR="00BA5856" w:rsidRPr="00BA5856" w:rsidRDefault="00BA5856" w:rsidP="00BA58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spacetime metric engineering, </w:t>
      </w:r>
    </w:p>
    <w:p w14:paraId="3BF4DF0F" w14:textId="77777777" w:rsidR="00BA5856" w:rsidRPr="00BA5856" w:rsidRDefault="00BA5856" w:rsidP="00BA58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controlled curvature localization. </w:t>
      </w:r>
    </w:p>
    <w:p w14:paraId="3C1E2295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Future theoretical work would require:</w:t>
      </w:r>
    </w:p>
    <w:p w14:paraId="6B2189B0" w14:textId="77777777" w:rsidR="00BA5856" w:rsidRPr="00BA5856" w:rsidRDefault="00BA5856" w:rsidP="00BA58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relativistic simulation, </w:t>
      </w:r>
    </w:p>
    <w:p w14:paraId="00AC23CC" w14:textId="77777777" w:rsidR="00BA5856" w:rsidRPr="00BA5856" w:rsidRDefault="00BA5856" w:rsidP="00BA58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curvature modeling, </w:t>
      </w:r>
    </w:p>
    <w:p w14:paraId="66E5EA27" w14:textId="77777777" w:rsidR="00BA5856" w:rsidRPr="00BA5856" w:rsidRDefault="00BA5856" w:rsidP="00BA58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energy-density analysis, </w:t>
      </w:r>
    </w:p>
    <w:p w14:paraId="1D54B7FB" w14:textId="77777777" w:rsidR="00BA5856" w:rsidRPr="00BA5856" w:rsidRDefault="00BA5856" w:rsidP="00BA58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and experimentally testable synchronization studies. </w:t>
      </w:r>
    </w:p>
    <w:p w14:paraId="140514DE" w14:textId="77777777" w:rsidR="00BA5856" w:rsidRPr="00BA5856" w:rsidRDefault="00BA5856" w:rsidP="00BA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References</w:t>
      </w:r>
    </w:p>
    <w:p w14:paraId="21FE33A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Alcubierre, M. “The Warp Drive: Hyper-Fast Travel Within General Relativity.” </w:t>
      </w:r>
      <w:r w:rsidRPr="00BA58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Classical and Quantum Gravity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, 1994. </w:t>
      </w:r>
    </w:p>
    <w:p w14:paraId="301097E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Mattingly, B. et al. “Curvature Invariants for the Alcubierre and </w:t>
      </w: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Warp Drives.” 2020. </w:t>
      </w:r>
    </w:p>
    <w:p w14:paraId="07A0A45C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Santos-Pereira, O. et al. “Fluid Dynamics in the Warp Drive Spacetime Geometry.” 2021. </w:t>
      </w:r>
    </w:p>
    <w:p w14:paraId="38CE0150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Schuster, S. “ADM Mass in Warp Drive Spacetimes.” 2023. </w:t>
      </w:r>
    </w:p>
    <w:p w14:paraId="52153420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Rodal, J. “A Closer Look at </w:t>
      </w:r>
      <w:proofErr w:type="spellStart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>Natário’s</w:t>
      </w:r>
      <w:proofErr w:type="spellEnd"/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 Zero-Expansion Warp Drive.” 2025. </w:t>
      </w:r>
    </w:p>
    <w:p w14:paraId="127D9634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Santiago, J. “Generic Warp Drives Violate the Null Energy Condition.” </w:t>
      </w:r>
      <w:r w:rsidRPr="00BA58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Physical Review D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, 2022. </w:t>
      </w:r>
    </w:p>
    <w:p w14:paraId="76F815EA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Bian, S. “Obstacles from Interstellar Matters and Distortion in Warp Drive Spacetimes.” 2022. </w:t>
      </w:r>
    </w:p>
    <w:p w14:paraId="266DA7B9" w14:textId="77777777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“Beyond Alcubierre: A Tour of Modern Warp-Drive Physics.” 2025. </w:t>
      </w:r>
    </w:p>
    <w:p w14:paraId="57C82578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856">
        <w:rPr>
          <w:rFonts w:ascii="Times New Roman" w:eastAsia="Times New Roman" w:hAnsi="Times New Roman" w:cs="Times New Roman"/>
          <w:kern w:val="0"/>
          <w14:ligatures w14:val="none"/>
        </w:rPr>
        <w:t xml:space="preserve">“Scientists Designed a Warp Drive That Theoretically Works With Real Physics.” </w:t>
      </w:r>
      <w:r w:rsidRPr="00BA585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Popular Mechanics</w:t>
      </w:r>
      <w:r w:rsidRPr="00BA5856">
        <w:rPr>
          <w:rFonts w:ascii="Times New Roman" w:eastAsia="Times New Roman" w:hAnsi="Times New Roman" w:cs="Times New Roman"/>
          <w:kern w:val="0"/>
          <w14:ligatures w14:val="none"/>
        </w:rPr>
        <w:t>, 2025.</w:t>
      </w:r>
    </w:p>
    <w:p w14:paraId="4E862B7D" w14:textId="77777777" w:rsid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3E118" w14:textId="027A614C" w:rsidR="00BA5856" w:rsidRPr="00BA5856" w:rsidRDefault="00BA5856" w:rsidP="00BA5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BF35942" wp14:editId="0E5BD78E">
            <wp:extent cx="5943600" cy="3962400"/>
            <wp:effectExtent l="0" t="0" r="0" b="0"/>
            <wp:docPr id="241355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55267" name="Picture 2413552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CB5FB" w14:textId="77777777" w:rsidR="003B2438" w:rsidRDefault="003B2438"/>
    <w:sectPr w:rsidR="003B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96"/>
    <w:multiLevelType w:val="multilevel"/>
    <w:tmpl w:val="2CDC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3DAA"/>
    <w:multiLevelType w:val="multilevel"/>
    <w:tmpl w:val="E4F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1879"/>
    <w:multiLevelType w:val="multilevel"/>
    <w:tmpl w:val="0DC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E3FFA"/>
    <w:multiLevelType w:val="multilevel"/>
    <w:tmpl w:val="6166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56681"/>
    <w:multiLevelType w:val="multilevel"/>
    <w:tmpl w:val="744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B1590"/>
    <w:multiLevelType w:val="multilevel"/>
    <w:tmpl w:val="BDFE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C1EAC"/>
    <w:multiLevelType w:val="multilevel"/>
    <w:tmpl w:val="D50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65BE1"/>
    <w:multiLevelType w:val="multilevel"/>
    <w:tmpl w:val="0B5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D1656"/>
    <w:multiLevelType w:val="multilevel"/>
    <w:tmpl w:val="26BC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937F8"/>
    <w:multiLevelType w:val="multilevel"/>
    <w:tmpl w:val="C56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95783"/>
    <w:multiLevelType w:val="multilevel"/>
    <w:tmpl w:val="E4DC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26910"/>
    <w:multiLevelType w:val="multilevel"/>
    <w:tmpl w:val="CFE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A7BB9"/>
    <w:multiLevelType w:val="multilevel"/>
    <w:tmpl w:val="92D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E2A5F"/>
    <w:multiLevelType w:val="multilevel"/>
    <w:tmpl w:val="61E0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30348"/>
    <w:multiLevelType w:val="multilevel"/>
    <w:tmpl w:val="3F8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974C1"/>
    <w:multiLevelType w:val="multilevel"/>
    <w:tmpl w:val="BF5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521EA"/>
    <w:multiLevelType w:val="multilevel"/>
    <w:tmpl w:val="786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E42B2"/>
    <w:multiLevelType w:val="multilevel"/>
    <w:tmpl w:val="ACF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C3EDE"/>
    <w:multiLevelType w:val="multilevel"/>
    <w:tmpl w:val="0AD2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D64"/>
    <w:multiLevelType w:val="multilevel"/>
    <w:tmpl w:val="72BA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B6D88"/>
    <w:multiLevelType w:val="multilevel"/>
    <w:tmpl w:val="AF7E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115B1"/>
    <w:multiLevelType w:val="multilevel"/>
    <w:tmpl w:val="A8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925497">
    <w:abstractNumId w:val="3"/>
  </w:num>
  <w:num w:numId="2" w16cid:durableId="40910844">
    <w:abstractNumId w:val="15"/>
  </w:num>
  <w:num w:numId="3" w16cid:durableId="1299460257">
    <w:abstractNumId w:val="20"/>
  </w:num>
  <w:num w:numId="4" w16cid:durableId="348145800">
    <w:abstractNumId w:val="14"/>
  </w:num>
  <w:num w:numId="5" w16cid:durableId="2147385187">
    <w:abstractNumId w:val="16"/>
  </w:num>
  <w:num w:numId="6" w16cid:durableId="247424446">
    <w:abstractNumId w:val="1"/>
  </w:num>
  <w:num w:numId="7" w16cid:durableId="2036345769">
    <w:abstractNumId w:val="21"/>
  </w:num>
  <w:num w:numId="8" w16cid:durableId="1228607113">
    <w:abstractNumId w:val="6"/>
  </w:num>
  <w:num w:numId="9" w16cid:durableId="990599472">
    <w:abstractNumId w:val="12"/>
  </w:num>
  <w:num w:numId="10" w16cid:durableId="1722291107">
    <w:abstractNumId w:val="8"/>
  </w:num>
  <w:num w:numId="11" w16cid:durableId="1024865985">
    <w:abstractNumId w:val="2"/>
  </w:num>
  <w:num w:numId="12" w16cid:durableId="148181752">
    <w:abstractNumId w:val="0"/>
  </w:num>
  <w:num w:numId="13" w16cid:durableId="619840150">
    <w:abstractNumId w:val="18"/>
  </w:num>
  <w:num w:numId="14" w16cid:durableId="104034785">
    <w:abstractNumId w:val="19"/>
  </w:num>
  <w:num w:numId="15" w16cid:durableId="369110935">
    <w:abstractNumId w:val="5"/>
  </w:num>
  <w:num w:numId="16" w16cid:durableId="902449601">
    <w:abstractNumId w:val="17"/>
  </w:num>
  <w:num w:numId="17" w16cid:durableId="518936569">
    <w:abstractNumId w:val="7"/>
  </w:num>
  <w:num w:numId="18" w16cid:durableId="1222057041">
    <w:abstractNumId w:val="9"/>
  </w:num>
  <w:num w:numId="19" w16cid:durableId="150102136">
    <w:abstractNumId w:val="4"/>
  </w:num>
  <w:num w:numId="20" w16cid:durableId="1514413148">
    <w:abstractNumId w:val="13"/>
  </w:num>
  <w:num w:numId="21" w16cid:durableId="1161775049">
    <w:abstractNumId w:val="10"/>
  </w:num>
  <w:num w:numId="22" w16cid:durableId="1328284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56"/>
    <w:rsid w:val="00065E93"/>
    <w:rsid w:val="003B2438"/>
    <w:rsid w:val="007E262F"/>
    <w:rsid w:val="00A52C2F"/>
    <w:rsid w:val="00B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D566"/>
  <w15:chartTrackingRefBased/>
  <w15:docId w15:val="{4C1F79AC-ADD2-45BA-8FA3-408BEC2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1</cp:revision>
  <dcterms:created xsi:type="dcterms:W3CDTF">2026-05-06T15:10:00Z</dcterms:created>
  <dcterms:modified xsi:type="dcterms:W3CDTF">2026-05-06T17:41:00Z</dcterms:modified>
</cp:coreProperties>
</file>