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b/>
          <w:sz w:val="40"/>
        </w:rPr>
        <w:t>A Theoretical Framework for Coupled Fission–Thermal–Electromagnetic Plasma Propulsion with a Hypothetical Local Gravity/Spacetime Modification Term</w:t>
      </w:r>
    </w:p>
    <w:p>
      <w:pPr>
        <w:jc w:val="center"/>
      </w:pPr>
      <w:r>
        <w:rPr>
          <w:i/>
          <w:sz w:val="26"/>
        </w:rPr>
        <w:t>Conceptual Modeling, Crew Acceleration, and Inverse-Design Analysis</w:t>
      </w:r>
    </w:p>
    <w:p/>
    <w:p>
      <w:pPr>
        <w:jc w:val="center"/>
      </w:pPr>
      <w:r>
        <w:rPr>
          <w:b/>
          <w:sz w:val="26"/>
        </w:rPr>
        <w:t>Gabino B. Casanova</w:t>
      </w:r>
    </w:p>
    <w:p>
      <w:pPr>
        <w:jc w:val="center"/>
      </w:pPr>
      <w:r>
        <w:rPr>
          <w:sz w:val="22"/>
        </w:rPr>
        <w:t>Independent Researcher and Systems Theorist</w:t>
      </w:r>
    </w:p>
    <w:p>
      <w:pPr>
        <w:jc w:val="center"/>
      </w:pPr>
      <w:r>
        <w:rPr>
          <w:sz w:val="22"/>
        </w:rPr>
        <w:t>Independent Consultant</w:t>
      </w:r>
    </w:p>
    <w:p>
      <w:pPr>
        <w:jc w:val="center"/>
      </w:pPr>
      <w:r>
        <w:rPr>
          <w:sz w:val="22"/>
        </w:rPr>
        <w:t>Brownsville, Texas, United States</w:t>
      </w:r>
    </w:p>
    <w:p>
      <w:pPr>
        <w:jc w:val="center"/>
      </w:pPr>
      <w:r>
        <w:rPr>
          <w:sz w:val="22"/>
        </w:rPr>
        <w:t>Interstellar Star Clock research portal: https://gabinoc67.github.io/interstellar-star-clock/index.html</w:t>
      </w:r>
    </w:p>
    <w:p>
      <w:pPr>
        <w:jc w:val="center"/>
      </w:pPr>
      <w:r>
        <w:rPr>
          <w:sz w:val="22"/>
        </w:rPr>
        <w:t>September 22, 2026</w:t>
      </w:r>
    </w:p>
    <w:p/>
    <w:p>
      <w:pPr>
        <w:jc w:val="center"/>
      </w:pPr>
      <w:r>
        <w:rPr>
          <w:b/>
          <w:sz w:val="20"/>
        </w:rPr>
        <w:t>Research status: Independent theoretical concept paper / preprint</w:t>
      </w:r>
    </w:p>
    <w:p>
      <w:r>
        <w:br w:type="page"/>
      </w:r>
    </w:p>
    <w:p>
      <w:pPr>
        <w:pStyle w:val="Heading1"/>
      </w:pPr>
      <w:r>
        <w:t>Abstract</w:t>
      </w:r>
    </w:p>
    <w:p>
      <w:r>
        <w:t>This paper presents a theoretical systems framework that combines an established propulsion baseline with a deliberately unverified gravity/spacetime modification term. The baseline model uses inverse-square Earth gravity, variable spacecraft mass, ideal equivalent-exhaust-velocity rocket relations, a two-stage fission/thermal plus electromagnetic (EM) plasma acceleration concept, and standard magnetic-field energy-density relations. A hypothetical acceleration term, aΦ, is then introduced only as an inverse-design variable: it represents the amount of upward acceleration that would be required from an unknown local spacetime or gravity-modification mechanism to reduce the propulsion burden. The framework also distinguishes local Earth gravity from crew-felt acceleration during powered flight. A browser-based numerical simulator is used to compare a control case (aΦ = 0) with a hypothetical test case (aΦ = 2.00 m/s²). For a 45,000 kg vehicle at Earth’s surface and a commanded upward acceleration of 5.00 m/s², the control model requires approximately 666.9 kN of thrust, while the hypothetical comparison requires approximately 576.9 kN, a difference of 90.0 kN. Under the ideal equivalent-exhaust model with ve = 18 km/s, this corresponds to a mass-flow reduction of 5.00 kg/s and an ideal jet-power reduction of 0.81 GW. These values do not demonstrate gravity control; they quantify the performance consequences that would follow if such an acceleration term existed. The paper concludes with falsifiability requirements, measurement criteria, and a strict separation between established physics and speculative assumptions.</w:t>
      </w:r>
    </w:p>
    <w:p>
      <w:r>
        <w:rPr>
          <w:b/>
        </w:rPr>
        <w:t xml:space="preserve">Keywords: </w:t>
      </w:r>
      <w:r>
        <w:t>gravity modification; spacetime engineering; fission propulsion; plasma propulsion; electromagnetic acceleration; inverse design; crew g-load; theoretical spacecraft systems</w:t>
      </w:r>
    </w:p>
    <w:p>
      <w:pPr>
        <w:pStyle w:val="Heading1"/>
      </w:pPr>
      <w:r>
        <w:t>1. Introduction</w:t>
      </w:r>
    </w:p>
    <w:p>
      <w:r>
        <w:t>Spacecraft ascent is governed by a combination of gravitational force, vehicle mass, propellant flow, exhaust momentum, aerodynamic effects, and mission geometry. In conventional physics, a vehicle reduces the influence of Earth’s gravity primarily by gaining altitude and/or entering free fall, not by changing the gravitational field itself. Earth’s gravitational acceleration decreases with distance from Earth’s center according to an inverse-square relationship. NASA educational material presents this dependence explicitly and notes that an object’s weight decreases with altitude [1–3].</w:t>
      </w:r>
    </w:p>
    <w:p>
      <w:r>
        <w:t>The present study asks a narrower systems question: if a hypothetical local acceleration term could partially oppose the downward gravitational contribution near a spacecraft, how much would that reduce required thrust, propellant flow, ideal jet power, and crew acceleration load? The objective is not to assert that such a mechanism exists. The objective is to build a transparent mathematical framework that separates measured or established quantities from an unverified term and makes the consequences numerically testable.</w:t>
      </w:r>
    </w:p>
    <w:p>
      <w:pPr>
        <w:pStyle w:val="Heading1"/>
      </w:pPr>
      <w:r>
        <w:t>2. Research Question and Scope</w:t>
      </w:r>
    </w:p>
    <w:p>
      <w:r>
        <w:t>The central research question is: How would the propulsion and crew-load requirements of a vertically accelerating spacecraft change if an additional upward acceleration term aΦ were physically available?</w:t>
      </w:r>
    </w:p>
    <w:p>
      <w:r>
        <w:t>The scope is deliberately limited to a one-dimensional vertical ascent model used as a screening tool. It is not an orbital-trajectory solver, not a reactor engineering model, and not a proof of a new gravitational interaction. The 1,000-mile endpoint used in the simulator is an altitude display limit rather than a definition of orbit or escape.</w:t>
      </w:r>
    </w:p>
    <w:p>
      <w:pPr>
        <w:pStyle w:val="Heading1"/>
      </w:pPr>
      <w:r>
        <w:t>3. Established-Physics Baseline</w:t>
      </w:r>
    </w:p>
    <w:p>
      <w:pPr>
        <w:pStyle w:val="Heading2"/>
      </w:pPr>
      <w:r>
        <w:t>3.1 Earth gravity with altitude</w:t>
      </w:r>
    </w:p>
    <w:p>
      <w:r>
        <w:t>The model uses the standard inverse-square approximation:</w:t>
      </w:r>
    </w:p>
    <w:p>
      <w:pPr>
        <w:pStyle w:val="Equation"/>
        <w:jc w:val="center"/>
      </w:pPr>
      <w:r>
        <w:t>g(h) = g₀ [ Rₑ / (Rₑ + h) ]²</w:t>
      </w:r>
    </w:p>
    <w:p>
      <w:r>
        <w:t>where g₀ is the selected surface gravitational acceleration, Rₑ is Earth’s mean radius, and h is altitude. NASA references likewise describe gravitational acceleration as decreasing with the square of the distance from Earth’s center [1–3].</w:t>
      </w:r>
    </w:p>
    <w:p>
      <w:pPr>
        <w:pStyle w:val="Heading2"/>
      </w:pPr>
      <w:r>
        <w:t>3.2 Rocket thrust and equivalent exhaust velocity</w:t>
      </w:r>
    </w:p>
    <w:p>
      <w:r>
        <w:t>For the screening model, thrust is represented using an ideal equivalent-exhaust-velocity relation. NASA gives the full rocket thrust equation as F = ṁVe + Ae(pe − p0), and defines an equivalent exhaust velocity that allows the relation to be written F = ṁVeq [4,5]. The simulator uses this idealized equivalent form:</w:t>
      </w:r>
    </w:p>
    <w:p>
      <w:pPr>
        <w:pStyle w:val="Equation"/>
        <w:jc w:val="center"/>
      </w:pPr>
      <w:r>
        <w:t>T = ṁ vₑ</w:t>
      </w:r>
    </w:p>
    <w:p>
      <w:pPr>
        <w:pStyle w:val="Equation"/>
        <w:jc w:val="center"/>
      </w:pPr>
      <w:r>
        <w:t>ṁ = T / vₑ</w:t>
      </w:r>
    </w:p>
    <w:p>
      <w:r>
        <w:t>The ideal directed exhaust kinetic-power estimate is:</w:t>
      </w:r>
    </w:p>
    <w:p>
      <w:pPr>
        <w:pStyle w:val="Equation"/>
        <w:jc w:val="center"/>
      </w:pPr>
      <w:r>
        <w:t>Pjet = ½ ṁ vₑ² = ½ T vₑ</w:t>
      </w:r>
    </w:p>
    <w:p>
      <w:pPr>
        <w:pStyle w:val="Heading2"/>
      </w:pPr>
      <w:r>
        <w:t>3.3 Ideal rocket equation</w:t>
      </w:r>
    </w:p>
    <w:p>
      <w:r>
        <w:t>For ideal delta-v screening, the Tsiolkovsky form is used:</w:t>
      </w:r>
    </w:p>
    <w:p>
      <w:pPr>
        <w:pStyle w:val="Equation"/>
        <w:jc w:val="center"/>
      </w:pPr>
      <w:r>
        <w:t>Δv = vₑ ln(m₀ / mf)</w:t>
      </w:r>
    </w:p>
    <w:p>
      <w:r>
        <w:t>NASA emphasizes that the ideal rocket equation is a simplified relation and that gravity, atmospheric effects, and other losses must be treated separately for realistic ascent analysis [5].</w:t>
      </w:r>
    </w:p>
    <w:p>
      <w:pPr>
        <w:pStyle w:val="Heading1"/>
      </w:pPr>
      <w:r>
        <w:t>4. Propulsion Architecture Used in the Conceptual Model</w:t>
      </w:r>
    </w:p>
    <w:p>
      <w:r>
        <w:t>The conceptual propulsion chain is divided into two idealized stages. First, a fission-powered thermal stage accelerates working mass to v₁ = 9 km/s. Second, an electromagnetic/plasma accelerator raises the idealized exhaust velocity from 9 km/s to 18 km/s. The model does not claim that a specific existing reactor, nozzle, plasma source, superconducting magnet, or power-conversion system can presently achieve the stated system-level performance.</w:t>
      </w:r>
    </w:p>
    <w:p>
      <w:r>
        <w:t>The thermal-stage directed kinetic-power estimate is:</w:t>
      </w:r>
    </w:p>
    <w:p>
      <w:pPr>
        <w:pStyle w:val="Equation"/>
        <w:jc w:val="center"/>
      </w:pPr>
      <w:r>
        <w:t>Pthermal = ½ ṁ v₁²</w:t>
      </w:r>
    </w:p>
    <w:p>
      <w:r>
        <w:t>The incremental electromagnetic kinetic-power estimate is:</w:t>
      </w:r>
    </w:p>
    <w:p>
      <w:pPr>
        <w:pStyle w:val="Equation"/>
        <w:jc w:val="center"/>
      </w:pPr>
      <w:r>
        <w:t>PEM = ½ ṁ (vₑ² − v₁²)</w:t>
      </w:r>
    </w:p>
    <w:p>
      <w:r>
        <w:t>The corresponding idealized momentum increment is:</w:t>
      </w:r>
    </w:p>
    <w:p>
      <w:pPr>
        <w:pStyle w:val="Equation"/>
        <w:jc w:val="center"/>
      </w:pPr>
      <w:r>
        <w:t>FEM = ṁ (vₑ − v₁)</w:t>
      </w:r>
    </w:p>
    <w:p>
      <w:pPr>
        <w:pStyle w:val="Heading1"/>
      </w:pPr>
      <w:r>
        <w:t>5. Magnetic-Field Screening Model</w:t>
      </w:r>
    </w:p>
    <w:p>
      <w:r>
        <w:t>For a magnetic working point B = 10 T, the simulator reports the standard magnetic energy density and magnetic pressure magnitude:</w:t>
      </w:r>
    </w:p>
    <w:p>
      <w:pPr>
        <w:pStyle w:val="Equation"/>
        <w:jc w:val="center"/>
      </w:pPr>
      <w:r>
        <w:t>uB = pB = B² / (2 μ₀)</w:t>
      </w:r>
    </w:p>
    <w:p>
      <w:r>
        <w:t>At 10 T this is approximately 39.8 MJ/m³ and 39.8 MPa. For an assumed 10 m³ active field volume, the stored magnetic-field energy is approximately 398 MJ. These quantities describe the electromagnetic field; they do not imply a gravitational shielding effect.</w:t>
      </w:r>
    </w:p>
    <w:p>
      <w:r>
        <w:t>For an idealized force-screening benchmark, the code also displays Ieffective = FEM/(BL), derived from the simple integrated relation F = IBL. A real plasma accelerator requires a distributed J×B analysis, plasma transport physics, magnet geometry, thermal management, and power-system losses.</w:t>
      </w:r>
    </w:p>
    <w:p>
      <w:pPr>
        <w:pStyle w:val="Heading1"/>
      </w:pPr>
      <w:r>
        <w:t>6. Hypothetical Gravity/Spacetime Modification Term</w:t>
      </w:r>
    </w:p>
    <w:p>
      <w:r>
        <w:t>The speculative component of this work is introduced through a separate acceleration term aΦ. It is defined operationally, not mechanistically. It represents an upward acceleration that would reduce the downward gravitational contribution in the spacecraft equation of motion.</w:t>
      </w:r>
    </w:p>
    <w:p>
      <w:pPr>
        <w:pStyle w:val="Equation"/>
        <w:jc w:val="center"/>
      </w:pPr>
      <w:r>
        <w:t>a = T/m − g(h) + aΦ</w:t>
      </w:r>
    </w:p>
    <w:p>
      <w:r>
        <w:t>Solving for required thrust gives:</w:t>
      </w:r>
    </w:p>
    <w:p>
      <w:pPr>
        <w:pStyle w:val="Equation"/>
        <w:jc w:val="center"/>
      </w:pPr>
      <w:r>
        <w:t>T = m [ g(h) + a − aΦ ]</w:t>
      </w:r>
    </w:p>
    <w:p>
      <w:r>
        <w:t>The control case is aΦ = 0. A nonzero value is used only as a hypothetical comparison or inverse-design target.</w:t>
      </w:r>
    </w:p>
    <w:p>
      <w:pPr>
        <w:pStyle w:val="Heading1"/>
      </w:pPr>
      <w:r>
        <w:t>7. General-Relativistic Inverse-Design Interpretation</w:t>
      </w:r>
    </w:p>
    <w:p>
      <w:r>
        <w:t>General relativity relates spacetime curvature to matter and energy through Einstein’s field equation. Einstein Online summarizes the equation as connecting spacetime distortion with matter properties including mass, energy, momentum, and pressure [6]. In compact notation:</w:t>
      </w:r>
    </w:p>
    <w:p>
      <w:pPr>
        <w:pStyle w:val="Equation"/>
        <w:jc w:val="center"/>
      </w:pPr>
      <w:r>
        <w:t>Gμν = (8πG/c⁴) Tμν</w:t>
      </w:r>
    </w:p>
    <w:p>
      <w:r>
        <w:t>For the present conceptual framework, the total stress-energy tensor is decomposed into known and hypothetical contributions:</w:t>
      </w:r>
    </w:p>
    <w:p>
      <w:pPr>
        <w:pStyle w:val="Equation"/>
        <w:jc w:val="center"/>
      </w:pPr>
      <w:r>
        <w:t>Tμν,total = Tμν,Earth + Tμν,ship + Tμν,Φ</w:t>
      </w:r>
    </w:p>
    <w:p>
      <w:r>
        <w:t>An inverse-design statement may then be written:</w:t>
      </w:r>
    </w:p>
    <w:p>
      <w:pPr>
        <w:pStyle w:val="Equation"/>
        <w:jc w:val="center"/>
      </w:pPr>
      <w:r>
        <w:t>Tμν,Φ = (c⁴/8πG) Gμν,target − Tμν,Earth − Tμν,ship</w:t>
      </w:r>
    </w:p>
    <w:p>
      <w:r>
        <w:t>This expression does not identify a physical source capable of producing the required tensor. It instead states what additional stress-energy would be required for a selected target spacetime, once known contributions are accounted for.</w:t>
      </w:r>
    </w:p>
    <w:p>
      <w:pPr>
        <w:pStyle w:val="Heading1"/>
      </w:pPr>
      <w:r>
        <w:t>8. Crew Acceleration and Apparent Weight</w:t>
      </w:r>
    </w:p>
    <w:p>
      <w:r>
        <w:t>A critical distinction is made between Earth’s local gravitational acceleration and what a crew member would feel during powered flight. In free fall, local gravity can remain substantial while apparent weight approaches zero. NASA educational material explicitly distinguishes microgravity from the absence of Earth’s gravitational field and explains that free fall removes apparent weight [7].</w:t>
      </w:r>
    </w:p>
    <w:p>
      <w:r>
        <w:t>For the simplified powered-ascent model, crew felt load is estimated from thrust acceleration:</w:t>
      </w:r>
    </w:p>
    <w:p>
      <w:pPr>
        <w:pStyle w:val="Equation"/>
        <w:jc w:val="center"/>
      </w:pPr>
      <w:r>
        <w:t>Gcrew = (T/m) / g₀</w:t>
      </w:r>
    </w:p>
    <w:p>
      <w:r>
        <w:t>Under the hypothetical term, the thrust needed for the same commanded vehicle acceleration falls, and therefore the modeled powered-flight crew load also falls.</w:t>
      </w:r>
    </w:p>
    <w:p>
      <w:pPr>
        <w:pStyle w:val="Heading1"/>
      </w:pPr>
      <w:r>
        <w:t>9. Baseline Vehicle and Simulation Parameters</w:t>
      </w:r>
    </w:p>
    <w:tbl>
      <w:tblPr>
        <w:tblStyle w:val="TableGrid"/>
        <w:tblW w:type="auto" w:w="0"/>
        <w:jc w:val="center"/>
        <w:tblLook w:firstColumn="1" w:firstRow="1" w:lastColumn="0" w:lastRow="0" w:noHBand="0" w:noVBand="1" w:val="04A0"/>
      </w:tblPr>
      <w:tblGrid>
        <w:gridCol w:w="4896"/>
        <w:gridCol w:w="4896"/>
      </w:tblGrid>
      <w:tr>
        <w:tc>
          <w:tcPr>
            <w:tcW w:type="dxa" w:w="4896"/>
            <w:vAlign w:val="center"/>
          </w:tcPr>
          <w:p>
            <w:r>
              <w:rPr>
                <w:rFonts w:ascii="Times New Roman" w:hAnsi="Times New Roman"/>
                <w:sz w:val="19"/>
              </w:rPr>
              <w:t>Parameter</w:t>
            </w:r>
          </w:p>
        </w:tc>
        <w:tc>
          <w:tcPr>
            <w:tcW w:type="dxa" w:w="4896"/>
            <w:vAlign w:val="center"/>
          </w:tcPr>
          <w:p>
            <w:r>
              <w:rPr>
                <w:rFonts w:ascii="Times New Roman" w:hAnsi="Times New Roman"/>
                <w:sz w:val="19"/>
              </w:rPr>
              <w:t>Value</w:t>
            </w:r>
          </w:p>
        </w:tc>
      </w:tr>
      <w:tr>
        <w:tc>
          <w:tcPr>
            <w:tcW w:type="dxa" w:w="4896"/>
            <w:vAlign w:val="center"/>
          </w:tcPr>
          <w:p>
            <w:r>
              <w:rPr>
                <w:rFonts w:ascii="Times New Roman" w:hAnsi="Times New Roman"/>
                <w:sz w:val="19"/>
              </w:rPr>
              <w:t>Initial wet mass</w:t>
            </w:r>
          </w:p>
        </w:tc>
        <w:tc>
          <w:tcPr>
            <w:tcW w:type="dxa" w:w="4896"/>
            <w:vAlign w:val="center"/>
          </w:tcPr>
          <w:p>
            <w:r>
              <w:rPr>
                <w:rFonts w:ascii="Times New Roman" w:hAnsi="Times New Roman"/>
                <w:sz w:val="19"/>
              </w:rPr>
              <w:t>45,000 kg</w:t>
            </w:r>
          </w:p>
        </w:tc>
      </w:tr>
      <w:tr>
        <w:tc>
          <w:tcPr>
            <w:tcW w:type="dxa" w:w="4896"/>
            <w:vAlign w:val="center"/>
          </w:tcPr>
          <w:p>
            <w:r>
              <w:rPr>
                <w:rFonts w:ascii="Times New Roman" w:hAnsi="Times New Roman"/>
                <w:sz w:val="19"/>
              </w:rPr>
              <w:t>Dry mass</w:t>
            </w:r>
          </w:p>
        </w:tc>
        <w:tc>
          <w:tcPr>
            <w:tcW w:type="dxa" w:w="4896"/>
            <w:vAlign w:val="center"/>
          </w:tcPr>
          <w:p>
            <w:r>
              <w:rPr>
                <w:rFonts w:ascii="Times New Roman" w:hAnsi="Times New Roman"/>
                <w:sz w:val="19"/>
              </w:rPr>
              <w:t>25,000 kg</w:t>
            </w:r>
          </w:p>
        </w:tc>
      </w:tr>
      <w:tr>
        <w:tc>
          <w:tcPr>
            <w:tcW w:type="dxa" w:w="4896"/>
            <w:vAlign w:val="center"/>
          </w:tcPr>
          <w:p>
            <w:r>
              <w:rPr>
                <w:rFonts w:ascii="Times New Roman" w:hAnsi="Times New Roman"/>
                <w:sz w:val="19"/>
              </w:rPr>
              <w:t>Propellant mass</w:t>
            </w:r>
          </w:p>
        </w:tc>
        <w:tc>
          <w:tcPr>
            <w:tcW w:type="dxa" w:w="4896"/>
            <w:vAlign w:val="center"/>
          </w:tcPr>
          <w:p>
            <w:r>
              <w:rPr>
                <w:rFonts w:ascii="Times New Roman" w:hAnsi="Times New Roman"/>
                <w:sz w:val="19"/>
              </w:rPr>
              <w:t>20,000 kg</w:t>
            </w:r>
          </w:p>
        </w:tc>
      </w:tr>
      <w:tr>
        <w:tc>
          <w:tcPr>
            <w:tcW w:type="dxa" w:w="4896"/>
            <w:vAlign w:val="center"/>
          </w:tcPr>
          <w:p>
            <w:r>
              <w:rPr>
                <w:rFonts w:ascii="Times New Roman" w:hAnsi="Times New Roman"/>
                <w:sz w:val="19"/>
              </w:rPr>
              <w:t>Commanded upward acceleration</w:t>
            </w:r>
          </w:p>
        </w:tc>
        <w:tc>
          <w:tcPr>
            <w:tcW w:type="dxa" w:w="4896"/>
            <w:vAlign w:val="center"/>
          </w:tcPr>
          <w:p>
            <w:r>
              <w:rPr>
                <w:rFonts w:ascii="Times New Roman" w:hAnsi="Times New Roman"/>
                <w:sz w:val="19"/>
              </w:rPr>
              <w:t>5.00 m/s²</w:t>
            </w:r>
          </w:p>
        </w:tc>
      </w:tr>
      <w:tr>
        <w:tc>
          <w:tcPr>
            <w:tcW w:type="dxa" w:w="4896"/>
            <w:vAlign w:val="center"/>
          </w:tcPr>
          <w:p>
            <w:r>
              <w:rPr>
                <w:rFonts w:ascii="Times New Roman" w:hAnsi="Times New Roman"/>
                <w:sz w:val="19"/>
              </w:rPr>
              <w:t>Final equivalent exhaust velocity</w:t>
            </w:r>
          </w:p>
        </w:tc>
        <w:tc>
          <w:tcPr>
            <w:tcW w:type="dxa" w:w="4896"/>
            <w:vAlign w:val="center"/>
          </w:tcPr>
          <w:p>
            <w:r>
              <w:rPr>
                <w:rFonts w:ascii="Times New Roman" w:hAnsi="Times New Roman"/>
                <w:sz w:val="19"/>
              </w:rPr>
              <w:t>18,000 m/s</w:t>
            </w:r>
          </w:p>
        </w:tc>
      </w:tr>
      <w:tr>
        <w:tc>
          <w:tcPr>
            <w:tcW w:type="dxa" w:w="4896"/>
            <w:vAlign w:val="center"/>
          </w:tcPr>
          <w:p>
            <w:r>
              <w:rPr>
                <w:rFonts w:ascii="Times New Roman" w:hAnsi="Times New Roman"/>
                <w:sz w:val="19"/>
              </w:rPr>
              <w:t>Thermal-stage exhaust velocity</w:t>
            </w:r>
          </w:p>
        </w:tc>
        <w:tc>
          <w:tcPr>
            <w:tcW w:type="dxa" w:w="4896"/>
            <w:vAlign w:val="center"/>
          </w:tcPr>
          <w:p>
            <w:r>
              <w:rPr>
                <w:rFonts w:ascii="Times New Roman" w:hAnsi="Times New Roman"/>
                <w:sz w:val="19"/>
              </w:rPr>
              <w:t>9,000 m/s</w:t>
            </w:r>
          </w:p>
        </w:tc>
      </w:tr>
      <w:tr>
        <w:tc>
          <w:tcPr>
            <w:tcW w:type="dxa" w:w="4896"/>
            <w:vAlign w:val="center"/>
          </w:tcPr>
          <w:p>
            <w:r>
              <w:rPr>
                <w:rFonts w:ascii="Times New Roman" w:hAnsi="Times New Roman"/>
                <w:sz w:val="19"/>
              </w:rPr>
              <w:t>Magnetic field working point</w:t>
            </w:r>
          </w:p>
        </w:tc>
        <w:tc>
          <w:tcPr>
            <w:tcW w:type="dxa" w:w="4896"/>
            <w:vAlign w:val="center"/>
          </w:tcPr>
          <w:p>
            <w:r>
              <w:rPr>
                <w:rFonts w:ascii="Times New Roman" w:hAnsi="Times New Roman"/>
                <w:sz w:val="19"/>
              </w:rPr>
              <w:t>10 T</w:t>
            </w:r>
          </w:p>
        </w:tc>
      </w:tr>
      <w:tr>
        <w:tc>
          <w:tcPr>
            <w:tcW w:type="dxa" w:w="4896"/>
            <w:vAlign w:val="center"/>
          </w:tcPr>
          <w:p>
            <w:r>
              <w:rPr>
                <w:rFonts w:ascii="Times New Roman" w:hAnsi="Times New Roman"/>
                <w:sz w:val="19"/>
              </w:rPr>
              <w:t>Accelerator length</w:t>
            </w:r>
          </w:p>
        </w:tc>
        <w:tc>
          <w:tcPr>
            <w:tcW w:type="dxa" w:w="4896"/>
            <w:vAlign w:val="center"/>
          </w:tcPr>
          <w:p>
            <w:r>
              <w:rPr>
                <w:rFonts w:ascii="Times New Roman" w:hAnsi="Times New Roman"/>
                <w:sz w:val="19"/>
              </w:rPr>
              <w:t>10 m</w:t>
            </w:r>
          </w:p>
        </w:tc>
      </w:tr>
      <w:tr>
        <w:tc>
          <w:tcPr>
            <w:tcW w:type="dxa" w:w="4896"/>
            <w:vAlign w:val="center"/>
          </w:tcPr>
          <w:p>
            <w:r>
              <w:rPr>
                <w:rFonts w:ascii="Times New Roman" w:hAnsi="Times New Roman"/>
                <w:sz w:val="19"/>
              </w:rPr>
              <w:t>Assumed active magnetic volume</w:t>
            </w:r>
          </w:p>
        </w:tc>
        <w:tc>
          <w:tcPr>
            <w:tcW w:type="dxa" w:w="4896"/>
            <w:vAlign w:val="center"/>
          </w:tcPr>
          <w:p>
            <w:r>
              <w:rPr>
                <w:rFonts w:ascii="Times New Roman" w:hAnsi="Times New Roman"/>
                <w:sz w:val="19"/>
              </w:rPr>
              <w:t>10 m³</w:t>
            </w:r>
          </w:p>
        </w:tc>
      </w:tr>
      <w:tr>
        <w:tc>
          <w:tcPr>
            <w:tcW w:type="dxa" w:w="4896"/>
            <w:vAlign w:val="center"/>
          </w:tcPr>
          <w:p>
            <w:r>
              <w:rPr>
                <w:rFonts w:ascii="Times New Roman" w:hAnsi="Times New Roman"/>
                <w:sz w:val="19"/>
              </w:rPr>
              <w:t>Surface gravity used by simulator</w:t>
            </w:r>
          </w:p>
        </w:tc>
        <w:tc>
          <w:tcPr>
            <w:tcW w:type="dxa" w:w="4896"/>
            <w:vAlign w:val="center"/>
          </w:tcPr>
          <w:p>
            <w:r>
              <w:rPr>
                <w:rFonts w:ascii="Times New Roman" w:hAnsi="Times New Roman"/>
                <w:sz w:val="19"/>
              </w:rPr>
              <w:t>9.820 m/s²</w:t>
            </w:r>
          </w:p>
        </w:tc>
      </w:tr>
      <w:tr>
        <w:tc>
          <w:tcPr>
            <w:tcW w:type="dxa" w:w="4896"/>
            <w:vAlign w:val="center"/>
          </w:tcPr>
          <w:p>
            <w:r>
              <w:rPr>
                <w:rFonts w:ascii="Times New Roman" w:hAnsi="Times New Roman"/>
                <w:sz w:val="19"/>
              </w:rPr>
              <w:t>Earth radius</w:t>
            </w:r>
          </w:p>
        </w:tc>
        <w:tc>
          <w:tcPr>
            <w:tcW w:type="dxa" w:w="4896"/>
            <w:vAlign w:val="center"/>
          </w:tcPr>
          <w:p>
            <w:r>
              <w:rPr>
                <w:rFonts w:ascii="Times New Roman" w:hAnsi="Times New Roman"/>
                <w:sz w:val="19"/>
              </w:rPr>
              <w:t>6,371 km</w:t>
            </w:r>
          </w:p>
        </w:tc>
      </w:tr>
      <w:tr>
        <w:tc>
          <w:tcPr>
            <w:tcW w:type="dxa" w:w="4896"/>
            <w:vAlign w:val="center"/>
          </w:tcPr>
          <w:p>
            <w:r>
              <w:rPr>
                <w:rFonts w:ascii="Times New Roman" w:hAnsi="Times New Roman"/>
                <w:sz w:val="19"/>
              </w:rPr>
              <w:t>Control gravity-modification term</w:t>
            </w:r>
          </w:p>
        </w:tc>
        <w:tc>
          <w:tcPr>
            <w:tcW w:type="dxa" w:w="4896"/>
            <w:vAlign w:val="center"/>
          </w:tcPr>
          <w:p>
            <w:r>
              <w:rPr>
                <w:rFonts w:ascii="Times New Roman" w:hAnsi="Times New Roman"/>
                <w:sz w:val="19"/>
              </w:rPr>
              <w:t>aΦ = 0</w:t>
            </w:r>
          </w:p>
        </w:tc>
      </w:tr>
      <w:tr>
        <w:tc>
          <w:tcPr>
            <w:tcW w:type="dxa" w:w="4896"/>
            <w:vAlign w:val="center"/>
          </w:tcPr>
          <w:p>
            <w:r>
              <w:rPr>
                <w:rFonts w:ascii="Times New Roman" w:hAnsi="Times New Roman"/>
                <w:sz w:val="19"/>
              </w:rPr>
              <w:t>Illustrative hypothetical test term</w:t>
            </w:r>
          </w:p>
        </w:tc>
        <w:tc>
          <w:tcPr>
            <w:tcW w:type="dxa" w:w="4896"/>
            <w:vAlign w:val="center"/>
          </w:tcPr>
          <w:p>
            <w:r>
              <w:rPr>
                <w:rFonts w:ascii="Times New Roman" w:hAnsi="Times New Roman"/>
                <w:sz w:val="19"/>
              </w:rPr>
              <w:t>aΦ = 2.00 m/s²</w:t>
            </w:r>
          </w:p>
        </w:tc>
      </w:tr>
    </w:tbl>
    <w:p>
      <w:pPr>
        <w:pStyle w:val="Heading1"/>
      </w:pPr>
      <w:r>
        <w:t>10. Illustrative Surface Comparison</w:t>
      </w:r>
    </w:p>
    <w:p>
      <w:r>
        <w:t>At Earth’s surface, with m = 45,000 kg, g = 9.820 m/s², and commanded upward acceleration a = 5.00 m/s², the control case requires:</w:t>
      </w:r>
    </w:p>
    <w:p>
      <w:pPr>
        <w:pStyle w:val="Equation"/>
        <w:jc w:val="center"/>
      </w:pPr>
      <w:r>
        <w:t>Tnormal = 45,000(9.820 + 5.000) = 666.9 kN</w:t>
      </w:r>
    </w:p>
    <w:p>
      <w:r>
        <w:t>For the hypothetical comparison aΦ = 2.00 m/s²:</w:t>
      </w:r>
    </w:p>
    <w:p>
      <w:pPr>
        <w:pStyle w:val="Equation"/>
        <w:jc w:val="center"/>
      </w:pPr>
      <w:r>
        <w:t>TΦ = 45,000(9.820 + 5.000 − 2.000) = 576.9 kN</w:t>
      </w:r>
    </w:p>
    <w:p>
      <w:r>
        <w:t>Therefore:</w:t>
      </w:r>
    </w:p>
    <w:p>
      <w:pPr>
        <w:pStyle w:val="Equation"/>
        <w:jc w:val="center"/>
      </w:pPr>
      <w:r>
        <w:t>ΔT = 90.0 kN</w:t>
      </w:r>
    </w:p>
    <w:p>
      <w:r>
        <w:t>Using the ideal equivalent exhaust velocity ve = 18,000 m/s, the corresponding mass-flow difference is 5.00 kg/s, and the ideal jet-power difference is 0.81 GW. The crew-load proxy falls from approximately 1.51 g to 1.31 g. These differences are consequences of the assumed aΦ term, not evidence that the term can be generated.</w:t>
      </w:r>
    </w:p>
    <w:p>
      <w:pPr>
        <w:pStyle w:val="Heading2"/>
      </w:pPr>
      <w:r>
        <w:t>10.1 Fixed-mass altitude comparison</w:t>
      </w:r>
    </w:p>
    <w:p>
      <w:r>
        <w:t>To isolate the altitude effect from propellant burn, Table 2 holds spacecraft mass fixed at 45,000 kg and compares the control and hypothetical test case.</w:t>
      </w:r>
    </w:p>
    <w:tbl>
      <w:tblPr>
        <w:tblStyle w:val="TableGrid"/>
        <w:tblW w:type="auto" w:w="0"/>
        <w:jc w:val="center"/>
        <w:tblLook w:firstColumn="1" w:firstRow="1" w:lastColumn="0" w:lastRow="0" w:noHBand="0" w:noVBand="1" w:val="04A0"/>
      </w:tblPr>
      <w:tblGrid>
        <w:gridCol w:w="1088"/>
        <w:gridCol w:w="1088"/>
        <w:gridCol w:w="1088"/>
        <w:gridCol w:w="1088"/>
        <w:gridCol w:w="1088"/>
        <w:gridCol w:w="1088"/>
        <w:gridCol w:w="1088"/>
        <w:gridCol w:w="1088"/>
        <w:gridCol w:w="1088"/>
      </w:tblGrid>
      <w:tr>
        <w:tc>
          <w:tcPr>
            <w:tcW w:type="dxa" w:w="1088"/>
            <w:vAlign w:val="center"/>
          </w:tcPr>
          <w:p>
            <w:pPr>
              <w:jc w:val="center"/>
            </w:pPr>
            <w:r>
              <w:rPr>
                <w:rFonts w:ascii="Times New Roman" w:hAnsi="Times New Roman"/>
                <w:sz w:val="16"/>
              </w:rPr>
              <w:t>Alt. (mi)</w:t>
            </w:r>
          </w:p>
        </w:tc>
        <w:tc>
          <w:tcPr>
            <w:tcW w:type="dxa" w:w="1088"/>
            <w:vAlign w:val="center"/>
          </w:tcPr>
          <w:p>
            <w:pPr>
              <w:jc w:val="center"/>
            </w:pPr>
            <w:r>
              <w:rPr>
                <w:rFonts w:ascii="Times New Roman" w:hAnsi="Times New Roman"/>
                <w:sz w:val="16"/>
              </w:rPr>
              <w:t>g (m/s²)</w:t>
            </w:r>
          </w:p>
        </w:tc>
        <w:tc>
          <w:tcPr>
            <w:tcW w:type="dxa" w:w="1088"/>
            <w:vAlign w:val="center"/>
          </w:tcPr>
          <w:p>
            <w:pPr>
              <w:jc w:val="center"/>
            </w:pPr>
            <w:r>
              <w:rPr>
                <w:rFonts w:ascii="Times New Roman" w:hAnsi="Times New Roman"/>
                <w:sz w:val="16"/>
              </w:rPr>
              <w:t>T normal (kN)</w:t>
            </w:r>
          </w:p>
        </w:tc>
        <w:tc>
          <w:tcPr>
            <w:tcW w:type="dxa" w:w="1088"/>
            <w:vAlign w:val="center"/>
          </w:tcPr>
          <w:p>
            <w:pPr>
              <w:jc w:val="center"/>
            </w:pPr>
            <w:r>
              <w:rPr>
                <w:rFonts w:ascii="Times New Roman" w:hAnsi="Times New Roman"/>
                <w:sz w:val="16"/>
              </w:rPr>
              <w:t>T Φ (kN)</w:t>
            </w:r>
          </w:p>
        </w:tc>
        <w:tc>
          <w:tcPr>
            <w:tcW w:type="dxa" w:w="1088"/>
            <w:vAlign w:val="center"/>
          </w:tcPr>
          <w:p>
            <w:pPr>
              <w:jc w:val="center"/>
            </w:pPr>
            <w:r>
              <w:rPr>
                <w:rFonts w:ascii="Times New Roman" w:hAnsi="Times New Roman"/>
                <w:sz w:val="16"/>
              </w:rPr>
              <w:t>ΔT (kN)</w:t>
            </w:r>
          </w:p>
        </w:tc>
        <w:tc>
          <w:tcPr>
            <w:tcW w:type="dxa" w:w="1088"/>
            <w:vAlign w:val="center"/>
          </w:tcPr>
          <w:p>
            <w:pPr>
              <w:jc w:val="center"/>
            </w:pPr>
            <w:r>
              <w:rPr>
                <w:rFonts w:ascii="Times New Roman" w:hAnsi="Times New Roman"/>
                <w:sz w:val="16"/>
              </w:rPr>
              <w:t>Δṁ (kg/s)</w:t>
            </w:r>
          </w:p>
        </w:tc>
        <w:tc>
          <w:tcPr>
            <w:tcW w:type="dxa" w:w="1088"/>
            <w:vAlign w:val="center"/>
          </w:tcPr>
          <w:p>
            <w:pPr>
              <w:jc w:val="center"/>
            </w:pPr>
            <w:r>
              <w:rPr>
                <w:rFonts w:ascii="Times New Roman" w:hAnsi="Times New Roman"/>
                <w:sz w:val="16"/>
              </w:rPr>
              <w:t>ΔP (GW)</w:t>
            </w:r>
          </w:p>
        </w:tc>
        <w:tc>
          <w:tcPr>
            <w:tcW w:type="dxa" w:w="1088"/>
            <w:vAlign w:val="center"/>
          </w:tcPr>
          <w:p>
            <w:pPr>
              <w:jc w:val="center"/>
            </w:pPr>
            <w:r>
              <w:rPr>
                <w:rFonts w:ascii="Times New Roman" w:hAnsi="Times New Roman"/>
                <w:sz w:val="16"/>
              </w:rPr>
              <w:t>Crew g normal</w:t>
            </w:r>
          </w:p>
        </w:tc>
        <w:tc>
          <w:tcPr>
            <w:tcW w:type="dxa" w:w="1088"/>
            <w:vAlign w:val="center"/>
          </w:tcPr>
          <w:p>
            <w:pPr>
              <w:jc w:val="center"/>
            </w:pPr>
            <w:r>
              <w:rPr>
                <w:rFonts w:ascii="Times New Roman" w:hAnsi="Times New Roman"/>
                <w:sz w:val="16"/>
              </w:rPr>
              <w:t>Crew g Φ</w:t>
            </w:r>
          </w:p>
        </w:tc>
      </w:tr>
      <w:tr>
        <w:tc>
          <w:tcPr>
            <w:tcW w:type="dxa" w:w="1088"/>
            <w:vAlign w:val="center"/>
          </w:tcPr>
          <w:p>
            <w:pPr>
              <w:jc w:val="center"/>
            </w:pPr>
            <w:r>
              <w:rPr>
                <w:rFonts w:ascii="Times New Roman" w:hAnsi="Times New Roman"/>
                <w:sz w:val="16"/>
              </w:rPr>
              <w:t>0</w:t>
            </w:r>
          </w:p>
        </w:tc>
        <w:tc>
          <w:tcPr>
            <w:tcW w:type="dxa" w:w="1088"/>
            <w:vAlign w:val="center"/>
          </w:tcPr>
          <w:p>
            <w:pPr>
              <w:jc w:val="center"/>
            </w:pPr>
            <w:r>
              <w:rPr>
                <w:rFonts w:ascii="Times New Roman" w:hAnsi="Times New Roman"/>
                <w:sz w:val="16"/>
              </w:rPr>
              <w:t>9.820</w:t>
            </w:r>
          </w:p>
        </w:tc>
        <w:tc>
          <w:tcPr>
            <w:tcW w:type="dxa" w:w="1088"/>
            <w:vAlign w:val="center"/>
          </w:tcPr>
          <w:p>
            <w:pPr>
              <w:jc w:val="center"/>
            </w:pPr>
            <w:r>
              <w:rPr>
                <w:rFonts w:ascii="Times New Roman" w:hAnsi="Times New Roman"/>
                <w:sz w:val="16"/>
              </w:rPr>
              <w:t>666.9</w:t>
            </w:r>
          </w:p>
        </w:tc>
        <w:tc>
          <w:tcPr>
            <w:tcW w:type="dxa" w:w="1088"/>
            <w:vAlign w:val="center"/>
          </w:tcPr>
          <w:p>
            <w:pPr>
              <w:jc w:val="center"/>
            </w:pPr>
            <w:r>
              <w:rPr>
                <w:rFonts w:ascii="Times New Roman" w:hAnsi="Times New Roman"/>
                <w:sz w:val="16"/>
              </w:rPr>
              <w:t>576.9</w:t>
            </w:r>
          </w:p>
        </w:tc>
        <w:tc>
          <w:tcPr>
            <w:tcW w:type="dxa" w:w="1088"/>
            <w:vAlign w:val="center"/>
          </w:tcPr>
          <w:p>
            <w:pPr>
              <w:jc w:val="center"/>
            </w:pPr>
            <w:r>
              <w:rPr>
                <w:rFonts w:ascii="Times New Roman" w:hAnsi="Times New Roman"/>
                <w:sz w:val="16"/>
              </w:rPr>
              <w:t>90.0</w:t>
            </w:r>
          </w:p>
        </w:tc>
        <w:tc>
          <w:tcPr>
            <w:tcW w:type="dxa" w:w="1088"/>
            <w:vAlign w:val="center"/>
          </w:tcPr>
          <w:p>
            <w:pPr>
              <w:jc w:val="center"/>
            </w:pPr>
            <w:r>
              <w:rPr>
                <w:rFonts w:ascii="Times New Roman" w:hAnsi="Times New Roman"/>
                <w:sz w:val="16"/>
              </w:rPr>
              <w:t>5.00</w:t>
            </w:r>
          </w:p>
        </w:tc>
        <w:tc>
          <w:tcPr>
            <w:tcW w:type="dxa" w:w="1088"/>
            <w:vAlign w:val="center"/>
          </w:tcPr>
          <w:p>
            <w:pPr>
              <w:jc w:val="center"/>
            </w:pPr>
            <w:r>
              <w:rPr>
                <w:rFonts w:ascii="Times New Roman" w:hAnsi="Times New Roman"/>
                <w:sz w:val="16"/>
              </w:rPr>
              <w:t>0.81</w:t>
            </w:r>
          </w:p>
        </w:tc>
        <w:tc>
          <w:tcPr>
            <w:tcW w:type="dxa" w:w="1088"/>
            <w:vAlign w:val="center"/>
          </w:tcPr>
          <w:p>
            <w:pPr>
              <w:jc w:val="center"/>
            </w:pPr>
            <w:r>
              <w:rPr>
                <w:rFonts w:ascii="Times New Roman" w:hAnsi="Times New Roman"/>
                <w:sz w:val="16"/>
              </w:rPr>
              <w:t>1.51</w:t>
            </w:r>
          </w:p>
        </w:tc>
        <w:tc>
          <w:tcPr>
            <w:tcW w:type="dxa" w:w="1088"/>
            <w:vAlign w:val="center"/>
          </w:tcPr>
          <w:p>
            <w:pPr>
              <w:jc w:val="center"/>
            </w:pPr>
            <w:r>
              <w:rPr>
                <w:rFonts w:ascii="Times New Roman" w:hAnsi="Times New Roman"/>
                <w:sz w:val="16"/>
              </w:rPr>
              <w:t>1.31</w:t>
            </w:r>
          </w:p>
        </w:tc>
      </w:tr>
      <w:tr>
        <w:tc>
          <w:tcPr>
            <w:tcW w:type="dxa" w:w="1088"/>
            <w:vAlign w:val="center"/>
          </w:tcPr>
          <w:p>
            <w:pPr>
              <w:jc w:val="center"/>
            </w:pPr>
            <w:r>
              <w:rPr>
                <w:rFonts w:ascii="Times New Roman" w:hAnsi="Times New Roman"/>
                <w:sz w:val="16"/>
              </w:rPr>
              <w:t>250</w:t>
            </w:r>
          </w:p>
        </w:tc>
        <w:tc>
          <w:tcPr>
            <w:tcW w:type="dxa" w:w="1088"/>
            <w:vAlign w:val="center"/>
          </w:tcPr>
          <w:p>
            <w:pPr>
              <w:jc w:val="center"/>
            </w:pPr>
            <w:r>
              <w:rPr>
                <w:rFonts w:ascii="Times New Roman" w:hAnsi="Times New Roman"/>
                <w:sz w:val="16"/>
              </w:rPr>
              <w:t>8.688</w:t>
            </w:r>
          </w:p>
        </w:tc>
        <w:tc>
          <w:tcPr>
            <w:tcW w:type="dxa" w:w="1088"/>
            <w:vAlign w:val="center"/>
          </w:tcPr>
          <w:p>
            <w:pPr>
              <w:jc w:val="center"/>
            </w:pPr>
            <w:r>
              <w:rPr>
                <w:rFonts w:ascii="Times New Roman" w:hAnsi="Times New Roman"/>
                <w:sz w:val="16"/>
              </w:rPr>
              <w:t>616.0</w:t>
            </w:r>
          </w:p>
        </w:tc>
        <w:tc>
          <w:tcPr>
            <w:tcW w:type="dxa" w:w="1088"/>
            <w:vAlign w:val="center"/>
          </w:tcPr>
          <w:p>
            <w:pPr>
              <w:jc w:val="center"/>
            </w:pPr>
            <w:r>
              <w:rPr>
                <w:rFonts w:ascii="Times New Roman" w:hAnsi="Times New Roman"/>
                <w:sz w:val="16"/>
              </w:rPr>
              <w:t>526.0</w:t>
            </w:r>
          </w:p>
        </w:tc>
        <w:tc>
          <w:tcPr>
            <w:tcW w:type="dxa" w:w="1088"/>
            <w:vAlign w:val="center"/>
          </w:tcPr>
          <w:p>
            <w:pPr>
              <w:jc w:val="center"/>
            </w:pPr>
            <w:r>
              <w:rPr>
                <w:rFonts w:ascii="Times New Roman" w:hAnsi="Times New Roman"/>
                <w:sz w:val="16"/>
              </w:rPr>
              <w:t>90.0</w:t>
            </w:r>
          </w:p>
        </w:tc>
        <w:tc>
          <w:tcPr>
            <w:tcW w:type="dxa" w:w="1088"/>
            <w:vAlign w:val="center"/>
          </w:tcPr>
          <w:p>
            <w:pPr>
              <w:jc w:val="center"/>
            </w:pPr>
            <w:r>
              <w:rPr>
                <w:rFonts w:ascii="Times New Roman" w:hAnsi="Times New Roman"/>
                <w:sz w:val="16"/>
              </w:rPr>
              <w:t>5.00</w:t>
            </w:r>
          </w:p>
        </w:tc>
        <w:tc>
          <w:tcPr>
            <w:tcW w:type="dxa" w:w="1088"/>
            <w:vAlign w:val="center"/>
          </w:tcPr>
          <w:p>
            <w:pPr>
              <w:jc w:val="center"/>
            </w:pPr>
            <w:r>
              <w:rPr>
                <w:rFonts w:ascii="Times New Roman" w:hAnsi="Times New Roman"/>
                <w:sz w:val="16"/>
              </w:rPr>
              <w:t>0.81</w:t>
            </w:r>
          </w:p>
        </w:tc>
        <w:tc>
          <w:tcPr>
            <w:tcW w:type="dxa" w:w="1088"/>
            <w:vAlign w:val="center"/>
          </w:tcPr>
          <w:p>
            <w:pPr>
              <w:jc w:val="center"/>
            </w:pPr>
            <w:r>
              <w:rPr>
                <w:rFonts w:ascii="Times New Roman" w:hAnsi="Times New Roman"/>
                <w:sz w:val="16"/>
              </w:rPr>
              <w:t>1.39</w:t>
            </w:r>
          </w:p>
        </w:tc>
        <w:tc>
          <w:tcPr>
            <w:tcW w:type="dxa" w:w="1088"/>
            <w:vAlign w:val="center"/>
          </w:tcPr>
          <w:p>
            <w:pPr>
              <w:jc w:val="center"/>
            </w:pPr>
            <w:r>
              <w:rPr>
                <w:rFonts w:ascii="Times New Roman" w:hAnsi="Times New Roman"/>
                <w:sz w:val="16"/>
              </w:rPr>
              <w:t>1.19</w:t>
            </w:r>
          </w:p>
        </w:tc>
      </w:tr>
      <w:tr>
        <w:tc>
          <w:tcPr>
            <w:tcW w:type="dxa" w:w="1088"/>
            <w:vAlign w:val="center"/>
          </w:tcPr>
          <w:p>
            <w:pPr>
              <w:jc w:val="center"/>
            </w:pPr>
            <w:r>
              <w:rPr>
                <w:rFonts w:ascii="Times New Roman" w:hAnsi="Times New Roman"/>
                <w:sz w:val="16"/>
              </w:rPr>
              <w:t>500</w:t>
            </w:r>
          </w:p>
        </w:tc>
        <w:tc>
          <w:tcPr>
            <w:tcW w:type="dxa" w:w="1088"/>
            <w:vAlign w:val="center"/>
          </w:tcPr>
          <w:p>
            <w:pPr>
              <w:jc w:val="center"/>
            </w:pPr>
            <w:r>
              <w:rPr>
                <w:rFonts w:ascii="Times New Roman" w:hAnsi="Times New Roman"/>
                <w:sz w:val="16"/>
              </w:rPr>
              <w:t>7.741</w:t>
            </w:r>
          </w:p>
        </w:tc>
        <w:tc>
          <w:tcPr>
            <w:tcW w:type="dxa" w:w="1088"/>
            <w:vAlign w:val="center"/>
          </w:tcPr>
          <w:p>
            <w:pPr>
              <w:jc w:val="center"/>
            </w:pPr>
            <w:r>
              <w:rPr>
                <w:rFonts w:ascii="Times New Roman" w:hAnsi="Times New Roman"/>
                <w:sz w:val="16"/>
              </w:rPr>
              <w:t>573.3</w:t>
            </w:r>
          </w:p>
        </w:tc>
        <w:tc>
          <w:tcPr>
            <w:tcW w:type="dxa" w:w="1088"/>
            <w:vAlign w:val="center"/>
          </w:tcPr>
          <w:p>
            <w:pPr>
              <w:jc w:val="center"/>
            </w:pPr>
            <w:r>
              <w:rPr>
                <w:rFonts w:ascii="Times New Roman" w:hAnsi="Times New Roman"/>
                <w:sz w:val="16"/>
              </w:rPr>
              <w:t>483.3</w:t>
            </w:r>
          </w:p>
        </w:tc>
        <w:tc>
          <w:tcPr>
            <w:tcW w:type="dxa" w:w="1088"/>
            <w:vAlign w:val="center"/>
          </w:tcPr>
          <w:p>
            <w:pPr>
              <w:jc w:val="center"/>
            </w:pPr>
            <w:r>
              <w:rPr>
                <w:rFonts w:ascii="Times New Roman" w:hAnsi="Times New Roman"/>
                <w:sz w:val="16"/>
              </w:rPr>
              <w:t>90.0</w:t>
            </w:r>
          </w:p>
        </w:tc>
        <w:tc>
          <w:tcPr>
            <w:tcW w:type="dxa" w:w="1088"/>
            <w:vAlign w:val="center"/>
          </w:tcPr>
          <w:p>
            <w:pPr>
              <w:jc w:val="center"/>
            </w:pPr>
            <w:r>
              <w:rPr>
                <w:rFonts w:ascii="Times New Roman" w:hAnsi="Times New Roman"/>
                <w:sz w:val="16"/>
              </w:rPr>
              <w:t>5.00</w:t>
            </w:r>
          </w:p>
        </w:tc>
        <w:tc>
          <w:tcPr>
            <w:tcW w:type="dxa" w:w="1088"/>
            <w:vAlign w:val="center"/>
          </w:tcPr>
          <w:p>
            <w:pPr>
              <w:jc w:val="center"/>
            </w:pPr>
            <w:r>
              <w:rPr>
                <w:rFonts w:ascii="Times New Roman" w:hAnsi="Times New Roman"/>
                <w:sz w:val="16"/>
              </w:rPr>
              <w:t>0.81</w:t>
            </w:r>
          </w:p>
        </w:tc>
        <w:tc>
          <w:tcPr>
            <w:tcW w:type="dxa" w:w="1088"/>
            <w:vAlign w:val="center"/>
          </w:tcPr>
          <w:p>
            <w:pPr>
              <w:jc w:val="center"/>
            </w:pPr>
            <w:r>
              <w:rPr>
                <w:rFonts w:ascii="Times New Roman" w:hAnsi="Times New Roman"/>
                <w:sz w:val="16"/>
              </w:rPr>
              <w:t>1.30</w:t>
            </w:r>
          </w:p>
        </w:tc>
        <w:tc>
          <w:tcPr>
            <w:tcW w:type="dxa" w:w="1088"/>
            <w:vAlign w:val="center"/>
          </w:tcPr>
          <w:p>
            <w:pPr>
              <w:jc w:val="center"/>
            </w:pPr>
            <w:r>
              <w:rPr>
                <w:rFonts w:ascii="Times New Roman" w:hAnsi="Times New Roman"/>
                <w:sz w:val="16"/>
              </w:rPr>
              <w:t>1.09</w:t>
            </w:r>
          </w:p>
        </w:tc>
      </w:tr>
      <w:tr>
        <w:tc>
          <w:tcPr>
            <w:tcW w:type="dxa" w:w="1088"/>
            <w:vAlign w:val="center"/>
          </w:tcPr>
          <w:p>
            <w:pPr>
              <w:jc w:val="center"/>
            </w:pPr>
            <w:r>
              <w:rPr>
                <w:rFonts w:ascii="Times New Roman" w:hAnsi="Times New Roman"/>
                <w:sz w:val="16"/>
              </w:rPr>
              <w:t>750</w:t>
            </w:r>
          </w:p>
        </w:tc>
        <w:tc>
          <w:tcPr>
            <w:tcW w:type="dxa" w:w="1088"/>
            <w:vAlign w:val="center"/>
          </w:tcPr>
          <w:p>
            <w:pPr>
              <w:jc w:val="center"/>
            </w:pPr>
            <w:r>
              <w:rPr>
                <w:rFonts w:ascii="Times New Roman" w:hAnsi="Times New Roman"/>
                <w:sz w:val="16"/>
              </w:rPr>
              <w:t>6.941</w:t>
            </w:r>
          </w:p>
        </w:tc>
        <w:tc>
          <w:tcPr>
            <w:tcW w:type="dxa" w:w="1088"/>
            <w:vAlign w:val="center"/>
          </w:tcPr>
          <w:p>
            <w:pPr>
              <w:jc w:val="center"/>
            </w:pPr>
            <w:r>
              <w:rPr>
                <w:rFonts w:ascii="Times New Roman" w:hAnsi="Times New Roman"/>
                <w:sz w:val="16"/>
              </w:rPr>
              <w:t>537.3</w:t>
            </w:r>
          </w:p>
        </w:tc>
        <w:tc>
          <w:tcPr>
            <w:tcW w:type="dxa" w:w="1088"/>
            <w:vAlign w:val="center"/>
          </w:tcPr>
          <w:p>
            <w:pPr>
              <w:jc w:val="center"/>
            </w:pPr>
            <w:r>
              <w:rPr>
                <w:rFonts w:ascii="Times New Roman" w:hAnsi="Times New Roman"/>
                <w:sz w:val="16"/>
              </w:rPr>
              <w:t>447.3</w:t>
            </w:r>
          </w:p>
        </w:tc>
        <w:tc>
          <w:tcPr>
            <w:tcW w:type="dxa" w:w="1088"/>
            <w:vAlign w:val="center"/>
          </w:tcPr>
          <w:p>
            <w:pPr>
              <w:jc w:val="center"/>
            </w:pPr>
            <w:r>
              <w:rPr>
                <w:rFonts w:ascii="Times New Roman" w:hAnsi="Times New Roman"/>
                <w:sz w:val="16"/>
              </w:rPr>
              <w:t>90.0</w:t>
            </w:r>
          </w:p>
        </w:tc>
        <w:tc>
          <w:tcPr>
            <w:tcW w:type="dxa" w:w="1088"/>
            <w:vAlign w:val="center"/>
          </w:tcPr>
          <w:p>
            <w:pPr>
              <w:jc w:val="center"/>
            </w:pPr>
            <w:r>
              <w:rPr>
                <w:rFonts w:ascii="Times New Roman" w:hAnsi="Times New Roman"/>
                <w:sz w:val="16"/>
              </w:rPr>
              <w:t>5.00</w:t>
            </w:r>
          </w:p>
        </w:tc>
        <w:tc>
          <w:tcPr>
            <w:tcW w:type="dxa" w:w="1088"/>
            <w:vAlign w:val="center"/>
          </w:tcPr>
          <w:p>
            <w:pPr>
              <w:jc w:val="center"/>
            </w:pPr>
            <w:r>
              <w:rPr>
                <w:rFonts w:ascii="Times New Roman" w:hAnsi="Times New Roman"/>
                <w:sz w:val="16"/>
              </w:rPr>
              <w:t>0.81</w:t>
            </w:r>
          </w:p>
        </w:tc>
        <w:tc>
          <w:tcPr>
            <w:tcW w:type="dxa" w:w="1088"/>
            <w:vAlign w:val="center"/>
          </w:tcPr>
          <w:p>
            <w:pPr>
              <w:jc w:val="center"/>
            </w:pPr>
            <w:r>
              <w:rPr>
                <w:rFonts w:ascii="Times New Roman" w:hAnsi="Times New Roman"/>
                <w:sz w:val="16"/>
              </w:rPr>
              <w:t>1.22</w:t>
            </w:r>
          </w:p>
        </w:tc>
        <w:tc>
          <w:tcPr>
            <w:tcW w:type="dxa" w:w="1088"/>
            <w:vAlign w:val="center"/>
          </w:tcPr>
          <w:p>
            <w:pPr>
              <w:jc w:val="center"/>
            </w:pPr>
            <w:r>
              <w:rPr>
                <w:rFonts w:ascii="Times New Roman" w:hAnsi="Times New Roman"/>
                <w:sz w:val="16"/>
              </w:rPr>
              <w:t>1.01</w:t>
            </w:r>
          </w:p>
        </w:tc>
      </w:tr>
      <w:tr>
        <w:tc>
          <w:tcPr>
            <w:tcW w:type="dxa" w:w="1088"/>
            <w:vAlign w:val="center"/>
          </w:tcPr>
          <w:p>
            <w:pPr>
              <w:jc w:val="center"/>
            </w:pPr>
            <w:r>
              <w:rPr>
                <w:rFonts w:ascii="Times New Roman" w:hAnsi="Times New Roman"/>
                <w:sz w:val="16"/>
              </w:rPr>
              <w:t>1000</w:t>
            </w:r>
          </w:p>
        </w:tc>
        <w:tc>
          <w:tcPr>
            <w:tcW w:type="dxa" w:w="1088"/>
            <w:vAlign w:val="center"/>
          </w:tcPr>
          <w:p>
            <w:pPr>
              <w:jc w:val="center"/>
            </w:pPr>
            <w:r>
              <w:rPr>
                <w:rFonts w:ascii="Times New Roman" w:hAnsi="Times New Roman"/>
                <w:sz w:val="16"/>
              </w:rPr>
              <w:t>6.259</w:t>
            </w:r>
          </w:p>
        </w:tc>
        <w:tc>
          <w:tcPr>
            <w:tcW w:type="dxa" w:w="1088"/>
            <w:vAlign w:val="center"/>
          </w:tcPr>
          <w:p>
            <w:pPr>
              <w:jc w:val="center"/>
            </w:pPr>
            <w:r>
              <w:rPr>
                <w:rFonts w:ascii="Times New Roman" w:hAnsi="Times New Roman"/>
                <w:sz w:val="16"/>
              </w:rPr>
              <w:t>506.6</w:t>
            </w:r>
          </w:p>
        </w:tc>
        <w:tc>
          <w:tcPr>
            <w:tcW w:type="dxa" w:w="1088"/>
            <w:vAlign w:val="center"/>
          </w:tcPr>
          <w:p>
            <w:pPr>
              <w:jc w:val="center"/>
            </w:pPr>
            <w:r>
              <w:rPr>
                <w:rFonts w:ascii="Times New Roman" w:hAnsi="Times New Roman"/>
                <w:sz w:val="16"/>
              </w:rPr>
              <w:t>416.6</w:t>
            </w:r>
          </w:p>
        </w:tc>
        <w:tc>
          <w:tcPr>
            <w:tcW w:type="dxa" w:w="1088"/>
            <w:vAlign w:val="center"/>
          </w:tcPr>
          <w:p>
            <w:pPr>
              <w:jc w:val="center"/>
            </w:pPr>
            <w:r>
              <w:rPr>
                <w:rFonts w:ascii="Times New Roman" w:hAnsi="Times New Roman"/>
                <w:sz w:val="16"/>
              </w:rPr>
              <w:t>90.0</w:t>
            </w:r>
          </w:p>
        </w:tc>
        <w:tc>
          <w:tcPr>
            <w:tcW w:type="dxa" w:w="1088"/>
            <w:vAlign w:val="center"/>
          </w:tcPr>
          <w:p>
            <w:pPr>
              <w:jc w:val="center"/>
            </w:pPr>
            <w:r>
              <w:rPr>
                <w:rFonts w:ascii="Times New Roman" w:hAnsi="Times New Roman"/>
                <w:sz w:val="16"/>
              </w:rPr>
              <w:t>5.00</w:t>
            </w:r>
          </w:p>
        </w:tc>
        <w:tc>
          <w:tcPr>
            <w:tcW w:type="dxa" w:w="1088"/>
            <w:vAlign w:val="center"/>
          </w:tcPr>
          <w:p>
            <w:pPr>
              <w:jc w:val="center"/>
            </w:pPr>
            <w:r>
              <w:rPr>
                <w:rFonts w:ascii="Times New Roman" w:hAnsi="Times New Roman"/>
                <w:sz w:val="16"/>
              </w:rPr>
              <w:t>0.81</w:t>
            </w:r>
          </w:p>
        </w:tc>
        <w:tc>
          <w:tcPr>
            <w:tcW w:type="dxa" w:w="1088"/>
            <w:vAlign w:val="center"/>
          </w:tcPr>
          <w:p>
            <w:pPr>
              <w:jc w:val="center"/>
            </w:pPr>
            <w:r>
              <w:rPr>
                <w:rFonts w:ascii="Times New Roman" w:hAnsi="Times New Roman"/>
                <w:sz w:val="16"/>
              </w:rPr>
              <w:t>1.15</w:t>
            </w:r>
          </w:p>
        </w:tc>
        <w:tc>
          <w:tcPr>
            <w:tcW w:type="dxa" w:w="1088"/>
            <w:vAlign w:val="center"/>
          </w:tcPr>
          <w:p>
            <w:pPr>
              <w:jc w:val="center"/>
            </w:pPr>
            <w:r>
              <w:rPr>
                <w:rFonts w:ascii="Times New Roman" w:hAnsi="Times New Roman"/>
                <w:sz w:val="16"/>
              </w:rPr>
              <w:t>0.94</w:t>
            </w:r>
          </w:p>
        </w:tc>
      </w:tr>
    </w:tbl>
    <w:p>
      <w:r>
        <w:t>Because ΔT = m aΦ when the assumed gravity reduction is constant and remains below local g, the fixed-mass thrust saving remains 90.0 kN across this illustrative table. The percentage saving grows as natural Earth gravity decreases with altitude.</w:t>
      </w:r>
    </w:p>
    <w:p>
      <w:pPr>
        <w:pStyle w:val="Heading1"/>
      </w:pPr>
      <w:r>
        <w:t>11. Interpretation of the Simulator</w:t>
      </w:r>
    </w:p>
    <w:p>
      <w:r>
        <w:t>The browser simulator is intended as a transparent bookkeeping and hypothesis-screening instrument. It continuously displays altitude, local Earth gravity, vehicle mass, propellant, thrust, ideal jet power, thermal/EM power split, magnetic energy density, crew g-load, and a parallel hypothetical gravity-reduction comparison. The control trajectory uses aΦ = 0 so that ordinary gravity and propulsion remain the actual simulated baseline.</w:t>
      </w:r>
    </w:p>
    <w:p>
      <w:r>
        <w:t>A separate comparison panel evaluates a selected test value of aΦ without silently inserting that value into established physics. This separation is essential: a hypothetical performance improvement should never be reported as a measured force or demonstrated technology.</w:t>
      </w:r>
    </w:p>
    <w:p>
      <w:pPr>
        <w:pStyle w:val="Heading1"/>
      </w:pPr>
      <w:r>
        <w:t>12. Falsifiability and Experimental Requirements</w:t>
      </w:r>
    </w:p>
    <w:p>
      <w:r>
        <w:t>For the gravity/spacetime hypothesis to become scientifically meaningful beyond simulation, a repeatable experiment would need to measure an anomalous acceleration or weight change that cannot be explained by electromagnetic forces, vibration, thermal drift, buoyancy, outgassing, electrostatics, magnetic coupling to nearby materials, sensor bias, or ordinary mass redistribution.</w:t>
      </w:r>
    </w:p>
    <w:p>
      <w:r>
        <w:t>A minimum experimental program should include: (1) a predefined null hypothesis; (2) calibrated force or acceleration sensors; (3) blinded or automated on/off sequences; (4) dummy loads that reproduce heat and electrical power without the proposed field geometry; (5) independent magnetometry, thermal, vibration, and pressure logging; (6) reversal tests in which field direction or apparatus orientation is changed; (7) replication by an independent laboratory; and (8) complete publication of raw data and uncertainty analysis.</w:t>
      </w:r>
    </w:p>
    <w:p>
      <w:pPr>
        <w:pStyle w:val="Heading1"/>
      </w:pPr>
      <w:r>
        <w:t>13. Limitations</w:t>
      </w:r>
    </w:p>
    <w:p>
      <w:pPr>
        <w:pStyle w:val="ListBullet"/>
      </w:pPr>
      <w:r>
        <w:t>The flight model is one-dimensional and does not solve orbital insertion, horizontal velocity, atmospheric drag, Earth rotation, steering, or structural loads.</w:t>
      </w:r>
    </w:p>
    <w:p>
      <w:pPr>
        <w:pStyle w:val="ListBullet"/>
      </w:pPr>
      <w:r>
        <w:t>The fission/thermal stage is represented only by energy and exhaust-velocity bookkeeping; reactor mass, thermal efficiency, radiation shielding, radiator area, materials limits, and control systems are not solved.</w:t>
      </w:r>
    </w:p>
    <w:p>
      <w:pPr>
        <w:pStyle w:val="ListBullet"/>
      </w:pPr>
      <w:r>
        <w:t>The EM/plasma stage does not yet include plasma ionization/dissociation energy, collisions, Hall parameters, sheath effects, detailed J×B distributions, magnet quench limits, or power electronics.</w:t>
      </w:r>
    </w:p>
    <w:p>
      <w:pPr>
        <w:pStyle w:val="ListBullet"/>
      </w:pPr>
      <w:r>
        <w:t>The magnetic-field calculations are standard electromagnetic energy-density calculations only; they do not establish a coupling to gravity.</w:t>
      </w:r>
    </w:p>
    <w:p>
      <w:pPr>
        <w:pStyle w:val="ListBullet"/>
      </w:pPr>
      <w:r>
        <w:t>The term aΦ has no experimentally validated source model in this paper.</w:t>
      </w:r>
    </w:p>
    <w:p>
      <w:pPr>
        <w:pStyle w:val="ListBullet"/>
      </w:pPr>
      <w:r>
        <w:t>Crew g-load is a simplified thrust-acceleration proxy, not a full rigid-body or human-factors model.</w:t>
      </w:r>
    </w:p>
    <w:p>
      <w:pPr>
        <w:pStyle w:val="ListBullet"/>
      </w:pPr>
      <w:r>
        <w:t>Any apparent reduction in required power follows mathematically from assuming aΦ; it is not a net-energy proof and does not establish where the energy or stress-energy required for aΦ would come from.</w:t>
      </w:r>
    </w:p>
    <w:p>
      <w:pPr>
        <w:pStyle w:val="Heading1"/>
      </w:pPr>
      <w:r>
        <w:t>14. Discussion</w:t>
      </w:r>
    </w:p>
    <w:p>
      <w:r>
        <w:t>The main value of the framework is methodological rather than evidentiary. It prevents two distinct questions from being mixed together. The first question—how much thrust and power a spacecraft requires under ordinary gravity—can be addressed with conventional mechanics and propulsion equations. The second—whether an engineered field can alter the local gravitational or inertial environment—is a separate experimental question. By keeping aΦ outside the established baseline, the model can quantify the benefit that a successful effect would have while remaining neutral about whether the effect exists.</w:t>
      </w:r>
    </w:p>
    <w:p>
      <w:r>
        <w:t>The same structure also provides a path for future refinement. If an experimentally measured anomalous acceleration were ever reported, the observed aΦ(t,x) could replace the illustrative test value. The simulator could then compare measured force, energy input, field configuration, and uncertainty against the inverse stress-energy requirements implied by a target spacetime.</w:t>
      </w:r>
    </w:p>
    <w:p>
      <w:pPr>
        <w:pStyle w:val="Heading1"/>
      </w:pPr>
      <w:r>
        <w:t>15. Conclusion</w:t>
      </w:r>
    </w:p>
    <w:p>
      <w:r>
        <w:t>This paper develops a theoretical spacecraft systems framework in which conventional gravity, rocket momentum, ideal directed exhaust power, electromagnetic field energy, and crew acceleration are modeled explicitly, while an unverified gravity/spacetime modification is represented by a separate acceleration term aΦ. For the selected 45,000 kg example at Earth’s surface, an assumed aΦ = 2.00 m/s² would reduce required thrust for a 5.00 m/s² commanded upward acceleration from 666.9 kN to 576.9 kN, with corresponding idealized reductions in propellant flow, jet power, and crew thrust-load. These are conditional results: they describe what would follow if the assumed acceleration term existed. The next scientific step is not to increase the simulated value of aΦ, but to define and perform experiments capable of detecting or rejecting such an effect with controlled systematics.</w:t>
      </w:r>
    </w:p>
    <w:p>
      <w:pPr>
        <w:pStyle w:val="Heading1"/>
      </w:pPr>
      <w:r>
        <w:t>Research Disclaimer and Scientific Status</w:t>
      </w:r>
    </w:p>
    <w:p>
      <w:r>
        <w:rPr>
          <w:b/>
        </w:rPr>
        <w:t>This document is an independent theoretical research concept and is not a peer-reviewed validation of a gravity-control, spacetime-engineering, propulsion, reactor, or spacecraft technology. Earth gravity, classical mechanics, rocket momentum, kinetic energy, mass-energy equivalence, electromagnetic field energy, Lorentz-force relationships, and Einstein’s field equation are established physics. The variables aΦ and Tμν,Φ are introduced here as hypothetical inverse-design terms. No experimentally demonstrated technology is known by the author to generate the modeled gravity/spacetime modification, and the paper does not claim that magnetic fields, plasma, or fission systems produce such an effect. Numerical results involving nonzero aΦ are conditional comparisons only. They must not be interpreted as experimental evidence, engineering readiness, safety certification, or a prediction that a practical gravity-modification device can be built. Any future claim of a nonzero effect would require controlled measurement, uncertainty analysis, exclusion of conventional forces and artifacts, and independent replication.</w:t>
      </w:r>
    </w:p>
    <w:p>
      <w:pPr>
        <w:pStyle w:val="Heading1"/>
      </w:pPr>
      <w:r>
        <w:t>Author Statement</w:t>
      </w:r>
    </w:p>
    <w:p>
      <w:r>
        <w:t>Gabino B. Casanova is an independent researcher and systems theorist based in Brownsville, Texas. This paper develops a conceptual framework and simulator for examining the interaction between conventional spacecraft propulsion requirements and a clearly labeled hypothetical gravity/spacetime modification term. The work is presented to support discussion, numerical exploration, falsifiable testing, and independent review.</w:t>
      </w:r>
    </w:p>
    <w:p>
      <w:pPr>
        <w:pStyle w:val="Heading1"/>
      </w:pPr>
      <w:r>
        <w:t>References</w:t>
      </w:r>
    </w:p>
    <w:p>
      <w:pPr>
        <w:pStyle w:val="Small"/>
      </w:pPr>
      <w:r>
        <w:t>[1] NASA Glenn Research Center. “Weight Equation.” Beginners Guide to Aeronautics. https://www1.grc.nasa.gov/beginners-guide-to-aeronautics/weight-gravitational-force/</w:t>
      </w:r>
    </w:p>
    <w:p>
      <w:pPr>
        <w:pStyle w:val="Small"/>
      </w:pPr>
      <w:r>
        <w:t>[2] NASA Glenn Research Center. “Earth.” Beginners Guide to Aeronautics. https://www1.grc.nasa.gov/beginners-guide-to-aeronautics/earth/</w:t>
      </w:r>
    </w:p>
    <w:p>
      <w:pPr>
        <w:pStyle w:val="Small"/>
      </w:pPr>
      <w:r>
        <w:t>[3] NASA Goddard Space Flight Center. “Newton’s Theory of Universal Gravitation.” https://pwg.gsfc.nasa.gov/stargaze/Sgravity.htm</w:t>
      </w:r>
    </w:p>
    <w:p>
      <w:pPr>
        <w:pStyle w:val="Small"/>
      </w:pPr>
      <w:r>
        <w:t>[4] NASA Glenn Research Center. “Specific Impulse.” Beginners Guide to Aeronautics. https://www1.grc.nasa.gov/beginners-guide-to-aeronautics/specific-impulse/</w:t>
      </w:r>
    </w:p>
    <w:p>
      <w:pPr>
        <w:pStyle w:val="Small"/>
      </w:pPr>
      <w:r>
        <w:t>[5] NASA Glenn Research Center. “Ideal Rocket Equation.” Beginners Guide to Aeronautics. https://www1.grc.nasa.gov/beginners-guide-to-aeronautics/ideal-rocket-equation/</w:t>
      </w:r>
    </w:p>
    <w:p>
      <w:pPr>
        <w:pStyle w:val="Small"/>
      </w:pPr>
      <w:r>
        <w:t>[6] Einstein Online, Max Planck Institute for Gravitational Physics. “Einstein’s Equation.” https://www.einstein-online.info/en/explandict/einsteins-equation/</w:t>
      </w:r>
    </w:p>
    <w:p>
      <w:pPr>
        <w:pStyle w:val="Small"/>
      </w:pPr>
      <w:r>
        <w:t>[7] NASA. “Microgravity: A Teacher’s Guide with Activities in Science, Mathematics, and Technology.” NASA educational publication.</w:t>
      </w:r>
    </w:p>
    <w:p/>
    <w:p>
      <w:pPr>
        <w:jc w:val="center"/>
      </w:pPr>
      <w:r>
        <w:rPr>
          <w:i/>
          <w:sz w:val="18"/>
        </w:rPr>
        <w:t>© 2026 Gabino B. Casanova. Independent research concept paper.</w:t>
      </w:r>
    </w:p>
    <w:sectPr w:rsidR="00FC693F" w:rsidRPr="0006063C" w:rsidSect="00034616">
      <w:headerReference w:type="default" r:id="rId9"/>
      <w:footerReference w:type="default" r:id="rId10"/>
      <w:pgSz w:w="12240" w:h="15840"/>
      <w:pgMar w:top="1152"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t>Independent research concept paper — September 2026</w:t>
    </w:r>
  </w:p>
  <w:p>
    <w:pP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i/>
        <w:sz w:val="18"/>
      </w:rPr>
      <w:t>Casanova — Theoretical Gravity-Reduction and Propulsion Framework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b/>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Times New Roman" w:hAnsi="Times New Roman"/>
      <w:b w:val="0"/>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quation">
    <w:name w:val="Equation"/>
    <w:rPr>
      <w:rFonts w:ascii="Cambria Math" w:hAnsi="Cambria Math"/>
      <w:sz w:val="22"/>
    </w:rPr>
  </w:style>
  <w:style w:type="paragraph" w:customStyle="1" w:styleId="Small">
    <w:name w:val="Small"/>
    <w:rPr>
      <w:rFonts w:ascii="Times New Roman" w:hAnsi="Times New Roman"/>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